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7977A" w14:textId="77777777" w:rsidR="00A02465" w:rsidRPr="002B6E2A" w:rsidRDefault="00A02465" w:rsidP="00A02465">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March 15, 2022</w:t>
      </w:r>
    </w:p>
    <w:p w14:paraId="079AF9CB" w14:textId="77777777" w:rsidR="00A02465" w:rsidRPr="002B6E2A" w:rsidRDefault="00A02465" w:rsidP="00A02465">
      <w:pPr>
        <w:spacing w:after="0"/>
        <w:ind w:right="144"/>
        <w:jc w:val="center"/>
        <w:textAlignment w:val="baseline"/>
        <w:rPr>
          <w:rFonts w:eastAsia="Times New Roman" w:cs="Times New Roman"/>
          <w:color w:val="000000"/>
          <w:spacing w:val="1"/>
        </w:rPr>
      </w:pPr>
    </w:p>
    <w:p w14:paraId="5F6D8562" w14:textId="77777777" w:rsidR="00A02465" w:rsidRPr="00110086" w:rsidRDefault="00A02465" w:rsidP="00A02465">
      <w:pPr>
        <w:spacing w:after="0"/>
        <w:contextualSpacing/>
        <w:jc w:val="center"/>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F57130B" wp14:editId="6A824318">
                <wp:simplePos x="0" y="0"/>
                <wp:positionH relativeFrom="margin">
                  <wp:posOffset>31750</wp:posOffset>
                </wp:positionH>
                <wp:positionV relativeFrom="line">
                  <wp:posOffset>448945</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DDA0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35.35pt" to="469.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" strokecolor="#2e75b6" strokeweight="1.75pt">
                <v:stroke joinstyle="miter" endcap="round"/>
                <w10:wrap type="square" anchorx="margin" anchory="line"/>
                <w10:anchorlock/>
              </v:line>
            </w:pict>
          </mc:Fallback>
        </mc:AlternateContent>
      </w:r>
      <w:r>
        <w:rPr>
          <w:rFonts w:asciiTheme="majorHAnsi" w:eastAsiaTheme="majorEastAsia" w:hAnsiTheme="majorHAnsi" w:cstheme="majorBidi"/>
          <w:color w:val="2E74B5" w:themeColor="accent1" w:themeShade="BF"/>
          <w:spacing w:val="-10"/>
          <w:kern w:val="28"/>
          <w:sz w:val="52"/>
          <w:szCs w:val="56"/>
        </w:rPr>
        <w:t>BREAKING FCC COMPLIANCE NEWS</w:t>
      </w:r>
      <w:bookmarkStart w:id="0" w:name="_Apparent_Violations_of"/>
      <w:bookmarkStart w:id="1" w:name="_FCC_Establishes_Firm"/>
      <w:bookmarkStart w:id="2" w:name="_FCC_Announces_2021"/>
      <w:bookmarkStart w:id="3" w:name="_$125,000_Fine_Imposed"/>
      <w:bookmarkStart w:id="4" w:name="_Commission_Imposes_$233,000"/>
      <w:bookmarkEnd w:id="0"/>
      <w:bookmarkEnd w:id="1"/>
      <w:bookmarkEnd w:id="2"/>
      <w:bookmarkEnd w:id="3"/>
      <w:bookmarkEnd w:id="4"/>
    </w:p>
    <w:p w14:paraId="07A2F9FD" w14:textId="77777777" w:rsidR="00A02465" w:rsidRDefault="00A02465" w:rsidP="00A02465">
      <w:pPr>
        <w:pStyle w:val="Heading1"/>
        <w:rPr>
          <w:rFonts w:eastAsia="Times New Roman"/>
          <w:sz w:val="32"/>
        </w:rPr>
      </w:pPr>
      <w:bookmarkStart w:id="5" w:name="_April_19,_2021,"/>
      <w:bookmarkStart w:id="6" w:name="_Consent_Decree_Imposes"/>
      <w:bookmarkStart w:id="7" w:name="_Enforcement_Bureau_Issues"/>
      <w:bookmarkStart w:id="8" w:name="_2020_Annual_Children’s"/>
      <w:bookmarkStart w:id="9" w:name="_$15,000_Fine_Meted"/>
      <w:bookmarkStart w:id="10" w:name="_Failures_to_Timely"/>
      <w:bookmarkStart w:id="11" w:name="_DTS/SFN_Rules_to"/>
      <w:bookmarkStart w:id="12" w:name="_6-Month_Warning:_Repack"/>
      <w:bookmarkStart w:id="13" w:name="_FCC_Adopts_Report"/>
      <w:bookmarkStart w:id="14" w:name="_$1,500_Fine_Proposed"/>
      <w:bookmarkStart w:id="15" w:name="_Draft_Report_and"/>
      <w:bookmarkStart w:id="16" w:name="_FCC_Issues_Notice"/>
      <w:bookmarkStart w:id="17" w:name="_FCC_Adopts_Report_1"/>
      <w:bookmarkEnd w:id="5"/>
      <w:bookmarkEnd w:id="6"/>
      <w:bookmarkEnd w:id="7"/>
      <w:bookmarkEnd w:id="8"/>
      <w:bookmarkEnd w:id="9"/>
      <w:bookmarkEnd w:id="10"/>
      <w:bookmarkEnd w:id="11"/>
      <w:bookmarkEnd w:id="12"/>
      <w:bookmarkEnd w:id="13"/>
      <w:bookmarkEnd w:id="14"/>
      <w:bookmarkEnd w:id="15"/>
      <w:bookmarkEnd w:id="16"/>
      <w:bookmarkEnd w:id="17"/>
      <w:r>
        <w:rPr>
          <w:rFonts w:eastAsia="Times New Roman"/>
          <w:sz w:val="32"/>
        </w:rPr>
        <w:t xml:space="preserve">New </w:t>
      </w:r>
      <w:hyperlink w:anchor="_FCC_Considering_Changes" w:history="1">
        <w:r w:rsidRPr="00A215B2">
          <w:rPr>
            <w:rStyle w:val="Hyperlink"/>
            <w:rFonts w:eastAsia="Times New Roman"/>
            <w:sz w:val="32"/>
            <w:u w:val="none"/>
          </w:rPr>
          <w:t>FCC</w:t>
        </w:r>
      </w:hyperlink>
      <w:r w:rsidRPr="00A215B2">
        <w:rPr>
          <w:rFonts w:eastAsia="Times New Roman"/>
          <w:sz w:val="32"/>
        </w:rPr>
        <w:t xml:space="preserve"> Foreign Sponsorship ID</w:t>
      </w:r>
      <w:r>
        <w:rPr>
          <w:rFonts w:eastAsia="Times New Roman"/>
          <w:sz w:val="32"/>
        </w:rPr>
        <w:t xml:space="preserve"> Rules Take Effect </w:t>
      </w:r>
    </w:p>
    <w:p w14:paraId="125D1C48" w14:textId="77777777" w:rsidR="00A02465" w:rsidRDefault="00A02465" w:rsidP="00A02465">
      <w:pPr>
        <w:pStyle w:val="Heading1"/>
        <w:rPr>
          <w:rFonts w:eastAsia="Times New Roman"/>
          <w:sz w:val="32"/>
        </w:rPr>
      </w:pPr>
      <w:r w:rsidRPr="00017CC1">
        <w:rPr>
          <w:rFonts w:eastAsia="Times New Roman"/>
          <w:b/>
          <w:color w:val="FF0000"/>
          <w:sz w:val="32"/>
          <w:u w:val="single"/>
        </w:rPr>
        <w:t>TODAY, March 15, 2022</w:t>
      </w:r>
      <w:r w:rsidRPr="00F11EA3">
        <w:rPr>
          <w:rFonts w:eastAsia="Times New Roman"/>
          <w:sz w:val="32"/>
        </w:rPr>
        <w:t>;</w:t>
      </w:r>
      <w:r w:rsidRPr="00A215B2">
        <w:rPr>
          <w:rFonts w:eastAsia="Times New Roman"/>
          <w:sz w:val="32"/>
        </w:rPr>
        <w:t xml:space="preserve"> </w:t>
      </w:r>
    </w:p>
    <w:p w14:paraId="1912A092" w14:textId="77777777" w:rsidR="00A02465" w:rsidRPr="00A215B2" w:rsidRDefault="00A02465" w:rsidP="00A02465">
      <w:pPr>
        <w:pStyle w:val="Heading1"/>
        <w:rPr>
          <w:rFonts w:eastAsia="Times New Roman"/>
          <w:sz w:val="32"/>
        </w:rPr>
      </w:pPr>
      <w:r>
        <w:rPr>
          <w:rFonts w:eastAsia="Times New Roman"/>
          <w:sz w:val="32"/>
        </w:rPr>
        <w:t>Litigation Regarding Rules Remains Pending</w:t>
      </w:r>
    </w:p>
    <w:p w14:paraId="7AA6AD2B" w14:textId="77777777" w:rsidR="00A02465" w:rsidRDefault="00A02465" w:rsidP="00A02465">
      <w:pPr>
        <w:autoSpaceDE w:val="0"/>
        <w:autoSpaceDN w:val="0"/>
        <w:adjustRightInd w:val="0"/>
        <w:spacing w:after="0"/>
        <w:ind w:firstLine="720"/>
        <w:jc w:val="both"/>
        <w:rPr>
          <w:rFonts w:eastAsia="Calibri" w:cs="Times New Roman"/>
          <w:szCs w:val="24"/>
        </w:rPr>
      </w:pPr>
    </w:p>
    <w:p w14:paraId="674E4A4C" w14:textId="77777777" w:rsidR="00A02465" w:rsidRDefault="00A02465" w:rsidP="00A02465">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FCC’s new foreign sponsorship ID rules—which were formally adopted by a </w:t>
      </w:r>
      <w:hyperlink r:id="rId8" w:history="1">
        <w:r w:rsidRPr="00E93F84">
          <w:rPr>
            <w:rStyle w:val="Hyperlink"/>
            <w:rFonts w:eastAsia="Calibri" w:cs="Times New Roman"/>
            <w:iCs/>
            <w:szCs w:val="24"/>
          </w:rPr>
          <w:t>Report and Order</w:t>
        </w:r>
      </w:hyperlink>
      <w:r>
        <w:rPr>
          <w:rFonts w:eastAsia="Calibri" w:cs="Times New Roman"/>
          <w:iCs/>
          <w:szCs w:val="24"/>
        </w:rPr>
        <w:t xml:space="preserve"> (the “Order”) nearly a year ago—were finally approved via publication in the </w:t>
      </w:r>
      <w:r>
        <w:rPr>
          <w:rFonts w:eastAsia="Calibri" w:cs="Times New Roman"/>
          <w:i/>
          <w:iCs/>
          <w:szCs w:val="24"/>
        </w:rPr>
        <w:t xml:space="preserve">Federal Register </w:t>
      </w:r>
      <w:r>
        <w:rPr>
          <w:rFonts w:eastAsia="Calibri" w:cs="Times New Roman"/>
          <w:iCs/>
          <w:szCs w:val="24"/>
        </w:rPr>
        <w:t xml:space="preserve">today, March 15, 2022.  Pursuant to the terms of the Order, today’s publication triggers the effective date of the rules.  Put differently, </w:t>
      </w:r>
      <w:r>
        <w:rPr>
          <w:rFonts w:eastAsia="Calibri" w:cs="Times New Roman"/>
          <w:b/>
          <w:iCs/>
          <w:szCs w:val="24"/>
          <w:u w:val="single"/>
        </w:rPr>
        <w:t>compliance with the new foreign sponsorship ID rules is required starting today, March 15, 2022</w:t>
      </w:r>
      <w:r>
        <w:rPr>
          <w:rFonts w:eastAsia="Calibri" w:cs="Times New Roman"/>
          <w:iCs/>
          <w:szCs w:val="24"/>
        </w:rPr>
        <w:t>.  Importantly, although litigation brought by NAB and others to overturn the new rules remains pending, we are still likely months away from a decision in that case.  Broadcasters must therefore begin to comply with the new rules immediately.</w:t>
      </w:r>
    </w:p>
    <w:p w14:paraId="4185333B" w14:textId="77777777" w:rsidR="00A02465" w:rsidRDefault="00A02465" w:rsidP="00A02465">
      <w:pPr>
        <w:autoSpaceDE w:val="0"/>
        <w:autoSpaceDN w:val="0"/>
        <w:adjustRightInd w:val="0"/>
        <w:spacing w:after="0"/>
        <w:ind w:firstLine="720"/>
        <w:jc w:val="both"/>
        <w:rPr>
          <w:rFonts w:eastAsia="Calibri" w:cs="Times New Roman"/>
          <w:iCs/>
          <w:szCs w:val="24"/>
        </w:rPr>
      </w:pPr>
    </w:p>
    <w:p w14:paraId="2E0B2E4F" w14:textId="77777777" w:rsidR="00A02465" w:rsidRDefault="00A02465" w:rsidP="00A02465">
      <w:pPr>
        <w:autoSpaceDE w:val="0"/>
        <w:autoSpaceDN w:val="0"/>
        <w:adjustRightInd w:val="0"/>
        <w:spacing w:after="0"/>
        <w:jc w:val="both"/>
      </w:pPr>
      <w:r w:rsidRPr="00FD2064">
        <w:rPr>
          <w:rFonts w:cs="Times New Roman"/>
          <w:i/>
          <w:color w:val="2E74B5" w:themeColor="accent1" w:themeShade="BF"/>
          <w:szCs w:val="24"/>
        </w:rPr>
        <w:t>Background</w:t>
      </w:r>
      <w:r w:rsidRPr="00FD2064">
        <w:rPr>
          <w:rFonts w:cs="Times New Roman"/>
          <w:szCs w:val="24"/>
        </w:rPr>
        <w:t xml:space="preserve">.  </w:t>
      </w:r>
      <w:r>
        <w:rPr>
          <w:rFonts w:eastAsia="Calibri" w:cs="Times New Roman"/>
          <w:iCs/>
          <w:szCs w:val="24"/>
        </w:rPr>
        <w:t xml:space="preserve">Over opposition from the broadcast industry, in April 2021 the Order adopted additional requirements for broadcasters to make specific, standardized disclosures relating to broadcast material paid for or provided by foreign governments and their representatives and to undertake specified diligence to determine whether a lessee of airtime is, in fact, a foreign governmental entity—i.e., the so-called “foreign sponsorship ID” rules.  The new foreign sponsorship ID rules are intended to supplement broadcasters’ preexisting sponsorship ID obligations, which, as broadcasters are well aware, require that </w:t>
      </w:r>
      <w:r>
        <w:t>when a broadcast licensee has received or been promised payment or other consideration for the airing of program material, the station must disclose that fact at the time of airing and identify who paid for or promised to pay for the material.  Under the preexisting sponsorship ID rules, stations also have the responsibility to exercise “reasonable diligence” in determining whether sponsorship identification is needed, and, if so, in identifying the true sponsor of the broadcast material.</w:t>
      </w:r>
    </w:p>
    <w:p w14:paraId="7DFC584C" w14:textId="77777777" w:rsidR="00A02465" w:rsidRDefault="00A02465" w:rsidP="00A02465">
      <w:pPr>
        <w:autoSpaceDE w:val="0"/>
        <w:autoSpaceDN w:val="0"/>
        <w:adjustRightInd w:val="0"/>
        <w:spacing w:after="0"/>
        <w:jc w:val="both"/>
        <w:rPr>
          <w:rFonts w:cs="Times New Roman"/>
          <w:szCs w:val="24"/>
        </w:rPr>
      </w:pPr>
    </w:p>
    <w:p w14:paraId="54D46660" w14:textId="77777777" w:rsidR="00A02465" w:rsidRDefault="00A02465" w:rsidP="00A02465">
      <w:pPr>
        <w:autoSpaceDE w:val="0"/>
        <w:autoSpaceDN w:val="0"/>
        <w:adjustRightInd w:val="0"/>
        <w:spacing w:after="0"/>
        <w:ind w:firstLine="720"/>
        <w:jc w:val="both"/>
        <w:rPr>
          <w:rFonts w:cs="Times New Roman"/>
          <w:szCs w:val="24"/>
        </w:rPr>
      </w:pPr>
      <w:r>
        <w:rPr>
          <w:rFonts w:cs="Times New Roman"/>
          <w:szCs w:val="24"/>
        </w:rPr>
        <w:t xml:space="preserve">The new foreign sponsorship ID rules adopted in the Order (discussed at a very high level below) did not take effect immediately.  Multiple aspects of the rules imposed new information collection burdens on broadcasters and therefore had to undergo additional regulatory approval processes before broadcasters could be obligated to comply with the new diligence and disclosure </w:t>
      </w:r>
      <w:r>
        <w:rPr>
          <w:rFonts w:cs="Times New Roman"/>
          <w:szCs w:val="24"/>
        </w:rPr>
        <w:lastRenderedPageBreak/>
        <w:t xml:space="preserve">requirements.  During that time, NAB and others challenged the foreign sponsorship ID rules—both at the FCC and in federal court—on multiple grounds, including under the First Amendment, the Communications Act, and the Administrative Procedure Act.  NAB sought to stay the rules (i.e., to block the rules’ effective date), again, both at the FCC and in federal court, but both stay requests were denied.  Oral argument on </w:t>
      </w:r>
      <w:proofErr w:type="spellStart"/>
      <w:r>
        <w:rPr>
          <w:rFonts w:cs="Times New Roman"/>
          <w:szCs w:val="24"/>
        </w:rPr>
        <w:t>NAB’s</w:t>
      </w:r>
      <w:proofErr w:type="spellEnd"/>
      <w:r>
        <w:rPr>
          <w:rFonts w:cs="Times New Roman"/>
          <w:szCs w:val="24"/>
        </w:rPr>
        <w:t xml:space="preserve"> challenge is currently scheduled for April 12, 2022, in the D.C. Circuit Court of Appeals.  It will likely take weeks or even months after argument for the D.C. Circuit to render a decision in the case.</w:t>
      </w:r>
    </w:p>
    <w:p w14:paraId="736859FF" w14:textId="77777777" w:rsidR="00A02465" w:rsidRDefault="00A02465" w:rsidP="00A02465">
      <w:pPr>
        <w:autoSpaceDE w:val="0"/>
        <w:autoSpaceDN w:val="0"/>
        <w:adjustRightInd w:val="0"/>
        <w:spacing w:after="0"/>
        <w:ind w:firstLine="720"/>
        <w:jc w:val="both"/>
        <w:rPr>
          <w:rFonts w:cs="Times New Roman"/>
          <w:szCs w:val="24"/>
        </w:rPr>
      </w:pPr>
    </w:p>
    <w:p w14:paraId="055185C6" w14:textId="77777777" w:rsidR="00A02465" w:rsidRDefault="00A02465" w:rsidP="00A02465">
      <w:pPr>
        <w:autoSpaceDE w:val="0"/>
        <w:autoSpaceDN w:val="0"/>
        <w:adjustRightInd w:val="0"/>
        <w:spacing w:after="0"/>
        <w:jc w:val="both"/>
        <w:rPr>
          <w:rFonts w:cs="Times New Roman"/>
          <w:szCs w:val="24"/>
        </w:rPr>
      </w:pPr>
      <w:r>
        <w:rPr>
          <w:rFonts w:cs="Times New Roman"/>
          <w:i/>
          <w:color w:val="2E74B5" w:themeColor="accent1" w:themeShade="BF"/>
          <w:szCs w:val="24"/>
        </w:rPr>
        <w:t>The New Foreign Sponsorship ID Rules</w:t>
      </w:r>
      <w:r w:rsidRPr="00FD2064">
        <w:rPr>
          <w:rFonts w:cs="Times New Roman"/>
          <w:szCs w:val="24"/>
        </w:rPr>
        <w:t xml:space="preserve">.  </w:t>
      </w:r>
      <w:r>
        <w:rPr>
          <w:rFonts w:cs="Times New Roman"/>
          <w:szCs w:val="24"/>
        </w:rPr>
        <w:t>We’ve summarized below several of the most significant new requirements imposed by the rules:</w:t>
      </w:r>
    </w:p>
    <w:p w14:paraId="2385B368" w14:textId="77777777" w:rsidR="00A02465" w:rsidRDefault="00A02465" w:rsidP="00A02465">
      <w:pPr>
        <w:autoSpaceDE w:val="0"/>
        <w:autoSpaceDN w:val="0"/>
        <w:adjustRightInd w:val="0"/>
        <w:spacing w:after="0"/>
        <w:jc w:val="both"/>
        <w:rPr>
          <w:rFonts w:cs="Times New Roman"/>
          <w:szCs w:val="24"/>
        </w:rPr>
      </w:pPr>
    </w:p>
    <w:p w14:paraId="5B405247" w14:textId="77777777" w:rsidR="00A02465" w:rsidRDefault="00A02465" w:rsidP="00A02465">
      <w:pPr>
        <w:autoSpaceDE w:val="0"/>
        <w:autoSpaceDN w:val="0"/>
        <w:adjustRightInd w:val="0"/>
        <w:spacing w:after="0"/>
        <w:ind w:firstLine="720"/>
        <w:jc w:val="both"/>
        <w:rPr>
          <w:rFonts w:cs="Times New Roman"/>
          <w:szCs w:val="24"/>
          <w:lang w:val="x-none"/>
        </w:rPr>
      </w:pPr>
      <w:r>
        <w:rPr>
          <w:rFonts w:cs="Times New Roman"/>
          <w:szCs w:val="24"/>
        </w:rPr>
        <w:t xml:space="preserve">Fundamentally, the new rules </w:t>
      </w:r>
      <w:r w:rsidRPr="00E96CAA">
        <w:rPr>
          <w:rFonts w:cs="Times New Roman"/>
          <w:szCs w:val="24"/>
          <w:lang w:val="x-none"/>
        </w:rPr>
        <w:t>require</w:t>
      </w:r>
      <w:r>
        <w:rPr>
          <w:rFonts w:cs="Times New Roman"/>
          <w:szCs w:val="24"/>
        </w:rPr>
        <w:t xml:space="preserve"> broadcasters to</w:t>
      </w:r>
      <w:r w:rsidRPr="00E96CAA">
        <w:rPr>
          <w:rFonts w:cs="Times New Roman"/>
          <w:szCs w:val="24"/>
          <w:lang w:val="x-none"/>
        </w:rPr>
        <w:t xml:space="preserve"> </w:t>
      </w:r>
      <w:r>
        <w:rPr>
          <w:rFonts w:cs="Times New Roman"/>
          <w:szCs w:val="24"/>
        </w:rPr>
        <w:t xml:space="preserve">(a) provide </w:t>
      </w:r>
      <w:r w:rsidRPr="00E96CAA">
        <w:rPr>
          <w:rFonts w:cs="Times New Roman"/>
          <w:szCs w:val="24"/>
          <w:lang w:val="x-none"/>
        </w:rPr>
        <w:t xml:space="preserve">foreign sponsorship identification for programming content aired on a station </w:t>
      </w:r>
      <w:r w:rsidRPr="00E96CAA">
        <w:rPr>
          <w:rFonts w:cs="Times New Roman"/>
          <w:szCs w:val="24"/>
          <w:u w:val="single"/>
          <w:lang w:val="x-none"/>
        </w:rPr>
        <w:t>pursuant to a lease of airtime</w:t>
      </w:r>
      <w:r w:rsidRPr="00E96CAA">
        <w:rPr>
          <w:rFonts w:cs="Times New Roman"/>
          <w:szCs w:val="24"/>
          <w:lang w:val="x-none"/>
        </w:rPr>
        <w:t xml:space="preserve"> if the direct or indirect provider of the programming qualifies as a</w:t>
      </w:r>
      <w:r>
        <w:rPr>
          <w:rFonts w:cs="Times New Roman"/>
          <w:szCs w:val="24"/>
          <w:lang w:val="x-none"/>
        </w:rPr>
        <w:t xml:space="preserve"> </w:t>
      </w:r>
      <w:r>
        <w:rPr>
          <w:rFonts w:cs="Times New Roman"/>
          <w:szCs w:val="24"/>
        </w:rPr>
        <w:t>“</w:t>
      </w:r>
      <w:r>
        <w:rPr>
          <w:rFonts w:cs="Times New Roman"/>
          <w:szCs w:val="24"/>
          <w:lang w:val="x-none"/>
        </w:rPr>
        <w:t>foreign governmental entity”</w:t>
      </w:r>
      <w:r>
        <w:rPr>
          <w:rFonts w:cs="Times New Roman"/>
          <w:szCs w:val="24"/>
        </w:rPr>
        <w:t xml:space="preserve"> as defined in the new rules, and (b) perform specified diligence in ascertaining whether such foreign sponsorship identification is required.  The core operational aspects of the new rules </w:t>
      </w:r>
      <w:r w:rsidRPr="003359C9">
        <w:rPr>
          <w:rFonts w:cs="Times New Roman"/>
          <w:szCs w:val="24"/>
          <w:lang w:val="x-none"/>
        </w:rPr>
        <w:t>require broadcasters that engage in any</w:t>
      </w:r>
      <w:r>
        <w:rPr>
          <w:rFonts w:cs="Times New Roman"/>
          <w:szCs w:val="24"/>
        </w:rPr>
        <w:t xml:space="preserve"> program</w:t>
      </w:r>
      <w:r w:rsidRPr="003359C9">
        <w:rPr>
          <w:rFonts w:cs="Times New Roman"/>
          <w:szCs w:val="24"/>
          <w:lang w:val="x-none"/>
        </w:rPr>
        <w:t xml:space="preserve"> leasing arrangement to: </w:t>
      </w:r>
    </w:p>
    <w:p w14:paraId="4DA16228" w14:textId="77777777" w:rsidR="00A02465" w:rsidRPr="004A0936" w:rsidRDefault="00A02465" w:rsidP="00A02465">
      <w:pPr>
        <w:autoSpaceDE w:val="0"/>
        <w:autoSpaceDN w:val="0"/>
        <w:adjustRightInd w:val="0"/>
        <w:spacing w:after="0"/>
        <w:ind w:firstLine="720"/>
        <w:jc w:val="both"/>
        <w:rPr>
          <w:rFonts w:cs="Times New Roman"/>
          <w:szCs w:val="24"/>
          <w:lang w:val="x-none"/>
        </w:rPr>
      </w:pPr>
    </w:p>
    <w:p w14:paraId="433F75BE" w14:textId="77777777" w:rsidR="00A02465" w:rsidRPr="004A0936" w:rsidRDefault="00A02465" w:rsidP="00A02465">
      <w:pPr>
        <w:pStyle w:val="ListParagraph"/>
        <w:numPr>
          <w:ilvl w:val="0"/>
          <w:numId w:val="35"/>
        </w:numPr>
        <w:tabs>
          <w:tab w:val="left" w:pos="1080"/>
        </w:tabs>
        <w:autoSpaceDE w:val="0"/>
        <w:autoSpaceDN w:val="0"/>
        <w:adjustRightInd w:val="0"/>
        <w:spacing w:after="0"/>
        <w:jc w:val="both"/>
        <w:rPr>
          <w:rFonts w:ascii="Times New Roman" w:hAnsi="Times New Roman" w:cs="Times New Roman"/>
          <w:sz w:val="24"/>
          <w:szCs w:val="24"/>
          <w:lang w:val="x-none"/>
        </w:rPr>
      </w:pPr>
      <w:r w:rsidRPr="004A0936">
        <w:rPr>
          <w:rFonts w:ascii="Times New Roman" w:hAnsi="Times New Roman" w:cs="Times New Roman"/>
          <w:sz w:val="24"/>
          <w:szCs w:val="24"/>
          <w:lang w:val="x-none"/>
        </w:rPr>
        <w:t>inform the lessee at the time of agreement and at renewal of the foreign</w:t>
      </w:r>
      <w:r w:rsidRPr="004A0936">
        <w:rPr>
          <w:rFonts w:ascii="Times New Roman" w:hAnsi="Times New Roman" w:cs="Times New Roman"/>
          <w:sz w:val="24"/>
          <w:szCs w:val="24"/>
        </w:rPr>
        <w:t xml:space="preserve"> </w:t>
      </w:r>
      <w:r w:rsidRPr="004A0936">
        <w:rPr>
          <w:rFonts w:ascii="Times New Roman" w:hAnsi="Times New Roman" w:cs="Times New Roman"/>
          <w:sz w:val="24"/>
          <w:szCs w:val="24"/>
          <w:lang w:val="x-none"/>
        </w:rPr>
        <w:t>spon</w:t>
      </w:r>
      <w:r>
        <w:rPr>
          <w:rFonts w:ascii="Times New Roman" w:hAnsi="Times New Roman" w:cs="Times New Roman"/>
          <w:sz w:val="24"/>
          <w:szCs w:val="24"/>
          <w:lang w:val="x-none"/>
        </w:rPr>
        <w:t>sorship disclosure requirement;</w:t>
      </w:r>
    </w:p>
    <w:p w14:paraId="7494D25C" w14:textId="77777777" w:rsidR="00A02465" w:rsidRPr="004A0936" w:rsidRDefault="00A02465" w:rsidP="00A02465">
      <w:pPr>
        <w:pStyle w:val="ListParagraph"/>
        <w:numPr>
          <w:ilvl w:val="0"/>
          <w:numId w:val="35"/>
        </w:numPr>
        <w:tabs>
          <w:tab w:val="left" w:pos="1080"/>
        </w:tabs>
        <w:autoSpaceDE w:val="0"/>
        <w:autoSpaceDN w:val="0"/>
        <w:adjustRightInd w:val="0"/>
        <w:spacing w:after="0"/>
        <w:jc w:val="both"/>
        <w:rPr>
          <w:rFonts w:ascii="Times New Roman" w:hAnsi="Times New Roman" w:cs="Times New Roman"/>
          <w:sz w:val="24"/>
          <w:szCs w:val="24"/>
          <w:lang w:val="x-none"/>
        </w:rPr>
      </w:pPr>
      <w:r w:rsidRPr="004A0936">
        <w:rPr>
          <w:rFonts w:ascii="Times New Roman" w:hAnsi="Times New Roman" w:cs="Times New Roman"/>
          <w:sz w:val="24"/>
          <w:szCs w:val="24"/>
          <w:lang w:val="x-none"/>
        </w:rPr>
        <w:t>inquire of the lessee at the time of agreement and at renewal whether it falls into any of the categories that qualify it as a</w:t>
      </w:r>
      <w:r>
        <w:rPr>
          <w:rFonts w:ascii="Times New Roman" w:hAnsi="Times New Roman" w:cs="Times New Roman"/>
          <w:sz w:val="24"/>
          <w:szCs w:val="24"/>
          <w:lang w:val="x-none"/>
        </w:rPr>
        <w:t xml:space="preserve"> “foreign governmental entity”;</w:t>
      </w:r>
    </w:p>
    <w:p w14:paraId="0C57198C" w14:textId="77777777" w:rsidR="00A02465" w:rsidRPr="004A0936" w:rsidRDefault="00A02465" w:rsidP="00A02465">
      <w:pPr>
        <w:pStyle w:val="ListParagraph"/>
        <w:numPr>
          <w:ilvl w:val="0"/>
          <w:numId w:val="35"/>
        </w:numPr>
        <w:tabs>
          <w:tab w:val="left" w:pos="1080"/>
        </w:tabs>
        <w:autoSpaceDE w:val="0"/>
        <w:autoSpaceDN w:val="0"/>
        <w:adjustRightInd w:val="0"/>
        <w:spacing w:after="0"/>
        <w:jc w:val="both"/>
        <w:rPr>
          <w:rFonts w:ascii="Times New Roman" w:hAnsi="Times New Roman" w:cs="Times New Roman"/>
          <w:sz w:val="24"/>
          <w:szCs w:val="24"/>
          <w:lang w:val="x-none"/>
        </w:rPr>
      </w:pPr>
      <w:r w:rsidRPr="004A0936">
        <w:rPr>
          <w:rFonts w:ascii="Times New Roman" w:hAnsi="Times New Roman" w:cs="Times New Roman"/>
          <w:sz w:val="24"/>
          <w:szCs w:val="24"/>
          <w:lang w:val="x-none"/>
        </w:rPr>
        <w:t xml:space="preserve">inquire of the lessee at the time of agreement and at renewal whether it knows </w:t>
      </w:r>
      <w:proofErr w:type="spellStart"/>
      <w:r>
        <w:rPr>
          <w:rFonts w:ascii="Times New Roman" w:hAnsi="Times New Roman" w:cs="Times New Roman"/>
          <w:sz w:val="24"/>
          <w:szCs w:val="24"/>
        </w:rPr>
        <w:t>o</w:t>
      </w:r>
      <w:r w:rsidRPr="004A0936">
        <w:rPr>
          <w:rFonts w:ascii="Times New Roman" w:hAnsi="Times New Roman" w:cs="Times New Roman"/>
          <w:sz w:val="24"/>
          <w:szCs w:val="24"/>
          <w:lang w:val="x-none"/>
        </w:rPr>
        <w:t>f</w:t>
      </w:r>
      <w:proofErr w:type="spellEnd"/>
      <w:r w:rsidRPr="004A0936">
        <w:rPr>
          <w:rFonts w:ascii="Times New Roman" w:hAnsi="Times New Roman" w:cs="Times New Roman"/>
          <w:sz w:val="24"/>
          <w:szCs w:val="24"/>
          <w:lang w:val="x-none"/>
        </w:rPr>
        <w:t xml:space="preserve"> anyone further back in the chain of producing/distributing the programming </w:t>
      </w:r>
      <w:r>
        <w:rPr>
          <w:rFonts w:ascii="Times New Roman" w:hAnsi="Times New Roman" w:cs="Times New Roman"/>
          <w:sz w:val="24"/>
          <w:szCs w:val="24"/>
        </w:rPr>
        <w:t xml:space="preserve">to </w:t>
      </w:r>
      <w:r w:rsidRPr="004A0936">
        <w:rPr>
          <w:rFonts w:ascii="Times New Roman" w:hAnsi="Times New Roman" w:cs="Times New Roman"/>
          <w:sz w:val="24"/>
          <w:szCs w:val="24"/>
          <w:lang w:val="x-none"/>
        </w:rPr>
        <w:t>be aired pursuant to the lease agreement</w:t>
      </w:r>
      <w:r>
        <w:rPr>
          <w:rFonts w:ascii="Times New Roman" w:hAnsi="Times New Roman" w:cs="Times New Roman"/>
          <w:sz w:val="24"/>
          <w:szCs w:val="24"/>
        </w:rPr>
        <w:t xml:space="preserve"> (</w:t>
      </w:r>
      <w:r w:rsidRPr="004A0936">
        <w:rPr>
          <w:rFonts w:ascii="Times New Roman" w:hAnsi="Times New Roman" w:cs="Times New Roman"/>
          <w:sz w:val="24"/>
          <w:szCs w:val="24"/>
          <w:lang w:val="x-none"/>
        </w:rPr>
        <w:t>or a sub-lease</w:t>
      </w:r>
      <w:r>
        <w:rPr>
          <w:rFonts w:ascii="Times New Roman" w:hAnsi="Times New Roman" w:cs="Times New Roman"/>
          <w:sz w:val="24"/>
          <w:szCs w:val="24"/>
        </w:rPr>
        <w:t>)</w:t>
      </w:r>
      <w:r w:rsidRPr="004A0936">
        <w:rPr>
          <w:rFonts w:ascii="Times New Roman" w:hAnsi="Times New Roman" w:cs="Times New Roman"/>
          <w:sz w:val="24"/>
          <w:szCs w:val="24"/>
          <w:lang w:val="x-none"/>
        </w:rPr>
        <w:t xml:space="preserve"> </w:t>
      </w:r>
      <w:r>
        <w:rPr>
          <w:rFonts w:ascii="Times New Roman" w:hAnsi="Times New Roman" w:cs="Times New Roman"/>
          <w:sz w:val="24"/>
          <w:szCs w:val="24"/>
        </w:rPr>
        <w:t xml:space="preserve">that </w:t>
      </w:r>
      <w:r w:rsidRPr="004A0936">
        <w:rPr>
          <w:rFonts w:ascii="Times New Roman" w:hAnsi="Times New Roman" w:cs="Times New Roman"/>
          <w:sz w:val="24"/>
          <w:szCs w:val="24"/>
          <w:lang w:val="x-none"/>
        </w:rPr>
        <w:t xml:space="preserve">qualifies as a foreign governmental entity and has provided some type of inducement to air the programming; </w:t>
      </w:r>
    </w:p>
    <w:p w14:paraId="047BC8BC" w14:textId="77777777" w:rsidR="00A02465" w:rsidRPr="004A0936" w:rsidRDefault="00A02465" w:rsidP="00A02465">
      <w:pPr>
        <w:pStyle w:val="ListParagraph"/>
        <w:numPr>
          <w:ilvl w:val="0"/>
          <w:numId w:val="35"/>
        </w:numPr>
        <w:tabs>
          <w:tab w:val="left" w:pos="1080"/>
        </w:tabs>
        <w:autoSpaceDE w:val="0"/>
        <w:autoSpaceDN w:val="0"/>
        <w:adjustRightInd w:val="0"/>
        <w:spacing w:after="0"/>
        <w:jc w:val="both"/>
        <w:rPr>
          <w:rFonts w:ascii="Times New Roman" w:hAnsi="Times New Roman" w:cs="Times New Roman"/>
          <w:sz w:val="24"/>
          <w:szCs w:val="24"/>
          <w:lang w:val="x-none"/>
        </w:rPr>
      </w:pPr>
      <w:r w:rsidRPr="004A0936">
        <w:rPr>
          <w:rFonts w:ascii="Times New Roman" w:hAnsi="Times New Roman" w:cs="Times New Roman"/>
          <w:sz w:val="24"/>
          <w:szCs w:val="24"/>
          <w:lang w:val="x-none"/>
        </w:rPr>
        <w:t xml:space="preserve">if the lessee does not identify itself and others in the production/distribution chain as foreign governmental entities, independently investigate the lessee’s status, at the time of agreement and at renewal, by consulting the DOJ’s </w:t>
      </w:r>
      <w:r>
        <w:rPr>
          <w:rFonts w:ascii="Times New Roman" w:hAnsi="Times New Roman" w:cs="Times New Roman"/>
          <w:sz w:val="24"/>
          <w:szCs w:val="24"/>
        </w:rPr>
        <w:t>Foreign Agent</w:t>
      </w:r>
      <w:r w:rsidRPr="004A0936">
        <w:rPr>
          <w:rFonts w:ascii="Times New Roman" w:hAnsi="Times New Roman" w:cs="Times New Roman"/>
          <w:sz w:val="24"/>
          <w:szCs w:val="24"/>
        </w:rPr>
        <w:t xml:space="preserve"> Registration Act (“</w:t>
      </w:r>
      <w:proofErr w:type="spellStart"/>
      <w:r w:rsidRPr="004A0936">
        <w:rPr>
          <w:rFonts w:ascii="Times New Roman" w:hAnsi="Times New Roman" w:cs="Times New Roman"/>
          <w:sz w:val="24"/>
          <w:szCs w:val="24"/>
          <w:lang w:val="x-none"/>
        </w:rPr>
        <w:t>FARA</w:t>
      </w:r>
      <w:proofErr w:type="spellEnd"/>
      <w:r w:rsidRPr="004A0936">
        <w:rPr>
          <w:rFonts w:ascii="Times New Roman" w:hAnsi="Times New Roman" w:cs="Times New Roman"/>
          <w:sz w:val="24"/>
          <w:szCs w:val="24"/>
        </w:rPr>
        <w:t>”)</w:t>
      </w:r>
      <w:r w:rsidRPr="004A0936">
        <w:rPr>
          <w:rFonts w:ascii="Times New Roman" w:hAnsi="Times New Roman" w:cs="Times New Roman"/>
          <w:sz w:val="24"/>
          <w:szCs w:val="24"/>
          <w:lang w:val="x-none"/>
        </w:rPr>
        <w:t xml:space="preserve"> website and the FCC’s semi-annual U.S.-based foreign media outlets reports;</w:t>
      </w:r>
    </w:p>
    <w:p w14:paraId="1BD0829B" w14:textId="77777777" w:rsidR="00A02465" w:rsidRPr="004A0936" w:rsidRDefault="00A02465" w:rsidP="00A02465">
      <w:pPr>
        <w:pStyle w:val="ListParagraph"/>
        <w:numPr>
          <w:ilvl w:val="0"/>
          <w:numId w:val="35"/>
        </w:numPr>
        <w:tabs>
          <w:tab w:val="left" w:pos="1080"/>
        </w:tabs>
        <w:autoSpaceDE w:val="0"/>
        <w:autoSpaceDN w:val="0"/>
        <w:adjustRightInd w:val="0"/>
        <w:spacing w:after="0"/>
        <w:jc w:val="both"/>
        <w:rPr>
          <w:rFonts w:ascii="Times New Roman" w:hAnsi="Times New Roman" w:cs="Times New Roman"/>
          <w:sz w:val="24"/>
          <w:szCs w:val="24"/>
        </w:rPr>
      </w:pPr>
      <w:r w:rsidRPr="004A0936">
        <w:rPr>
          <w:rFonts w:ascii="Times New Roman" w:hAnsi="Times New Roman" w:cs="Times New Roman"/>
          <w:sz w:val="24"/>
          <w:szCs w:val="24"/>
          <w:lang w:val="x-none"/>
        </w:rPr>
        <w:t>memorialize the above-listed inquiries and investigations to track compliance in the event documentation is required to respond to any future Commission inquiry on the issue</w:t>
      </w:r>
      <w:r>
        <w:rPr>
          <w:rFonts w:ascii="Times New Roman" w:hAnsi="Times New Roman" w:cs="Times New Roman"/>
          <w:sz w:val="24"/>
          <w:szCs w:val="24"/>
        </w:rPr>
        <w:t>;</w:t>
      </w:r>
    </w:p>
    <w:p w14:paraId="292F3187" w14:textId="77777777" w:rsidR="00A02465" w:rsidRPr="004A0936" w:rsidRDefault="00A02465" w:rsidP="00A02465">
      <w:pPr>
        <w:pStyle w:val="ListParagraph"/>
        <w:numPr>
          <w:ilvl w:val="0"/>
          <w:numId w:val="35"/>
        </w:numPr>
        <w:jc w:val="both"/>
        <w:rPr>
          <w:rFonts w:ascii="Times New Roman" w:hAnsi="Times New Roman" w:cs="Times New Roman"/>
          <w:sz w:val="24"/>
          <w:szCs w:val="24"/>
        </w:rPr>
      </w:pPr>
      <w:r w:rsidRPr="004A0936">
        <w:rPr>
          <w:rFonts w:ascii="Times New Roman" w:hAnsi="Times New Roman" w:cs="Times New Roman"/>
          <w:sz w:val="24"/>
          <w:szCs w:val="24"/>
        </w:rPr>
        <w:t>when broadcasting any material, via lease of airtime, that has been supplied by a foreign governmental entity (</w:t>
      </w:r>
      <w:r>
        <w:rPr>
          <w:rFonts w:ascii="Times New Roman" w:hAnsi="Times New Roman" w:cs="Times New Roman"/>
          <w:sz w:val="24"/>
          <w:szCs w:val="24"/>
        </w:rPr>
        <w:t>or where</w:t>
      </w:r>
      <w:r w:rsidRPr="004A0936">
        <w:rPr>
          <w:rFonts w:ascii="Times New Roman" w:hAnsi="Times New Roman" w:cs="Times New Roman"/>
          <w:sz w:val="24"/>
          <w:szCs w:val="24"/>
        </w:rPr>
        <w:t xml:space="preserve"> anyone involved in the production or distribution of the programming qualifies as a foreign governmental entity and has provided some type of inducement to air the programming), air the following disclosure at the time of the broadcast:</w:t>
      </w:r>
    </w:p>
    <w:p w14:paraId="128BCAE2" w14:textId="77777777" w:rsidR="00A02465" w:rsidRPr="00646D43" w:rsidRDefault="00A02465" w:rsidP="00A02465">
      <w:pPr>
        <w:spacing w:after="120"/>
        <w:ind w:left="1080"/>
        <w:jc w:val="both"/>
        <w:rPr>
          <w:rFonts w:cs="Times New Roman"/>
          <w:szCs w:val="24"/>
        </w:rPr>
      </w:pPr>
      <w:r w:rsidRPr="004F3312">
        <w:rPr>
          <w:rFonts w:cs="Times New Roman"/>
          <w:i/>
          <w:szCs w:val="24"/>
        </w:rPr>
        <w:t>“The [following/preceding] programming was [sponsored, paid for, or furnished], either in whole or in part, by [name of foreign governmental entity] on behalf of [name of foreign country].</w:t>
      </w:r>
      <w:proofErr w:type="gramStart"/>
      <w:r w:rsidRPr="004F3312">
        <w:rPr>
          <w:rFonts w:cs="Times New Roman"/>
          <w:i/>
          <w:szCs w:val="24"/>
        </w:rPr>
        <w:t>”</w:t>
      </w:r>
      <w:r>
        <w:rPr>
          <w:rFonts w:cs="Times New Roman"/>
          <w:szCs w:val="24"/>
        </w:rPr>
        <w:t>;</w:t>
      </w:r>
      <w:proofErr w:type="gramEnd"/>
      <w:r>
        <w:rPr>
          <w:rFonts w:cs="Times New Roman"/>
          <w:szCs w:val="24"/>
        </w:rPr>
        <w:t xml:space="preserve"> and</w:t>
      </w:r>
    </w:p>
    <w:p w14:paraId="17F2F47B" w14:textId="77777777" w:rsidR="00A02465" w:rsidRPr="005457B8" w:rsidRDefault="00A02465" w:rsidP="00A02465">
      <w:pPr>
        <w:pStyle w:val="ListParagraph"/>
        <w:numPr>
          <w:ilvl w:val="0"/>
          <w:numId w:val="35"/>
        </w:numPr>
        <w:spacing w:after="120"/>
        <w:jc w:val="both"/>
        <w:rPr>
          <w:rFonts w:ascii="Times New Roman" w:hAnsi="Times New Roman" w:cs="Times New Roman"/>
          <w:sz w:val="24"/>
          <w:szCs w:val="24"/>
          <w:lang w:eastAsia="ja-JP"/>
        </w:rPr>
      </w:pPr>
      <w:proofErr w:type="gramStart"/>
      <w:r w:rsidRPr="005457B8">
        <w:rPr>
          <w:rFonts w:ascii="Times New Roman" w:hAnsi="Times New Roman" w:cs="Times New Roman"/>
          <w:sz w:val="24"/>
          <w:szCs w:val="24"/>
          <w:lang w:eastAsia="ja-JP"/>
        </w:rPr>
        <w:t>when</w:t>
      </w:r>
      <w:proofErr w:type="gramEnd"/>
      <w:r w:rsidRPr="005457B8">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such </w:t>
      </w:r>
      <w:r w:rsidRPr="005457B8">
        <w:rPr>
          <w:rFonts w:ascii="Times New Roman" w:hAnsi="Times New Roman" w:cs="Times New Roman"/>
          <w:sz w:val="24"/>
          <w:szCs w:val="24"/>
          <w:lang w:eastAsia="ja-JP"/>
        </w:rPr>
        <w:t xml:space="preserve">a foreign sponsorship disclosure is made, </w:t>
      </w:r>
      <w:r w:rsidRPr="005457B8">
        <w:rPr>
          <w:rFonts w:ascii="Times New Roman" w:hAnsi="Times New Roman" w:cs="Times New Roman"/>
          <w:sz w:val="24"/>
          <w:szCs w:val="24"/>
        </w:rPr>
        <w:t>promptly place in</w:t>
      </w:r>
      <w:r>
        <w:rPr>
          <w:rFonts w:ascii="Times New Roman" w:hAnsi="Times New Roman" w:cs="Times New Roman"/>
          <w:sz w:val="24"/>
          <w:szCs w:val="24"/>
        </w:rPr>
        <w:t>to the station’s online public inspection file</w:t>
      </w:r>
      <w:r w:rsidRPr="005457B8">
        <w:rPr>
          <w:rFonts w:ascii="Times New Roman" w:hAnsi="Times New Roman" w:cs="Times New Roman"/>
          <w:sz w:val="24"/>
          <w:szCs w:val="24"/>
        </w:rPr>
        <w:t xml:space="preserve"> (“</w:t>
      </w:r>
      <w:proofErr w:type="spellStart"/>
      <w:r w:rsidRPr="005457B8">
        <w:rPr>
          <w:rFonts w:ascii="Times New Roman" w:hAnsi="Times New Roman" w:cs="Times New Roman"/>
          <w:sz w:val="24"/>
          <w:szCs w:val="24"/>
        </w:rPr>
        <w:t>OPIF</w:t>
      </w:r>
      <w:proofErr w:type="spellEnd"/>
      <w:r w:rsidRPr="005457B8">
        <w:rPr>
          <w:rFonts w:ascii="Times New Roman" w:hAnsi="Times New Roman" w:cs="Times New Roman"/>
          <w:sz w:val="24"/>
          <w:szCs w:val="24"/>
        </w:rPr>
        <w:t xml:space="preserve">”) </w:t>
      </w:r>
      <w:r>
        <w:rPr>
          <w:rFonts w:ascii="Times New Roman" w:hAnsi="Times New Roman" w:cs="Times New Roman"/>
          <w:sz w:val="24"/>
          <w:szCs w:val="24"/>
        </w:rPr>
        <w:t>a copy of the disclosure</w:t>
      </w:r>
      <w:r w:rsidRPr="005457B8">
        <w:rPr>
          <w:rFonts w:ascii="Times New Roman" w:hAnsi="Times New Roman" w:cs="Times New Roman"/>
          <w:sz w:val="24"/>
          <w:szCs w:val="24"/>
        </w:rPr>
        <w:t xml:space="preserve"> in a standalone folder marked as “Foreign Government-Provided Programming Disclosures.”</w:t>
      </w:r>
    </w:p>
    <w:p w14:paraId="5E99C4E2" w14:textId="77777777" w:rsidR="00A02465" w:rsidRDefault="00A02465" w:rsidP="00A02465">
      <w:pPr>
        <w:autoSpaceDE w:val="0"/>
        <w:autoSpaceDN w:val="0"/>
        <w:adjustRightInd w:val="0"/>
        <w:spacing w:after="0"/>
        <w:jc w:val="both"/>
        <w:rPr>
          <w:rFonts w:cs="Times New Roman"/>
          <w:szCs w:val="24"/>
        </w:rPr>
      </w:pPr>
    </w:p>
    <w:p w14:paraId="4C2306C4" w14:textId="77777777" w:rsidR="00A02465" w:rsidRDefault="00A02465" w:rsidP="00A02465">
      <w:pPr>
        <w:autoSpaceDE w:val="0"/>
        <w:autoSpaceDN w:val="0"/>
        <w:adjustRightInd w:val="0"/>
        <w:spacing w:after="0"/>
        <w:jc w:val="both"/>
        <w:rPr>
          <w:bCs/>
        </w:rPr>
      </w:pPr>
      <w:r>
        <w:rPr>
          <w:rFonts w:cs="Times New Roman"/>
          <w:szCs w:val="24"/>
        </w:rPr>
        <w:tab/>
        <w:t xml:space="preserve">Although the new requirements are burdensome, it’s important to note that they only apply if content is being aired on a station </w:t>
      </w:r>
      <w:r>
        <w:rPr>
          <w:rFonts w:cs="Times New Roman"/>
          <w:szCs w:val="24"/>
          <w:u w:val="single"/>
        </w:rPr>
        <w:t>pursuant to a lease of airtime</w:t>
      </w:r>
      <w:r>
        <w:rPr>
          <w:rFonts w:cs="Times New Roman"/>
          <w:szCs w:val="24"/>
        </w:rPr>
        <w:t xml:space="preserve">.  On that point, the Order stated that traditional short-form advertising does </w:t>
      </w:r>
      <w:r>
        <w:rPr>
          <w:rFonts w:cs="Times New Roman"/>
          <w:szCs w:val="24"/>
          <w:u w:val="single"/>
        </w:rPr>
        <w:t>not</w:t>
      </w:r>
      <w:r>
        <w:rPr>
          <w:rFonts w:cs="Times New Roman"/>
          <w:szCs w:val="24"/>
        </w:rPr>
        <w:t xml:space="preserve"> qualify as a “lease of airtime.”  Unhelpfully, the Order did </w:t>
      </w:r>
      <w:r w:rsidRPr="000978D2">
        <w:rPr>
          <w:rFonts w:cs="Times New Roman"/>
          <w:szCs w:val="24"/>
          <w:u w:val="single"/>
        </w:rPr>
        <w:t>not</w:t>
      </w:r>
      <w:r>
        <w:rPr>
          <w:rFonts w:cs="Times New Roman"/>
          <w:szCs w:val="24"/>
        </w:rPr>
        <w:t xml:space="preserve"> define “short-form” advertising and did </w:t>
      </w:r>
      <w:r w:rsidRPr="000978D2">
        <w:rPr>
          <w:rFonts w:cs="Times New Roman"/>
          <w:szCs w:val="24"/>
          <w:u w:val="single"/>
        </w:rPr>
        <w:t>not</w:t>
      </w:r>
      <w:r>
        <w:rPr>
          <w:rFonts w:cs="Times New Roman"/>
          <w:szCs w:val="24"/>
        </w:rPr>
        <w:t xml:space="preserve"> provide a standard that would allow licensees to distinguish </w:t>
      </w:r>
      <w:r>
        <w:rPr>
          <w:bCs/>
        </w:rPr>
        <w:t xml:space="preserve">between a spot that constitutes a “short-form” advertisement exempt from the new rules and some other type of advertisement that is covered by them.  The Four Television Affiliates Associations filed a Petition for Clarification targeting that unresolved issue and, although the FCC issued a </w:t>
      </w:r>
      <w:hyperlink r:id="rId9" w:history="1">
        <w:r w:rsidRPr="003359C9">
          <w:rPr>
            <w:rStyle w:val="Hyperlink"/>
            <w:bCs/>
          </w:rPr>
          <w:t>Public Notice</w:t>
        </w:r>
      </w:hyperlink>
      <w:r>
        <w:rPr>
          <w:bCs/>
        </w:rPr>
        <w:t xml:space="preserve"> seeking comments on the Petition in September 2021, no clarification has yet been provided.</w:t>
      </w:r>
    </w:p>
    <w:p w14:paraId="76C75FEC" w14:textId="77777777" w:rsidR="00A02465" w:rsidRDefault="00A02465" w:rsidP="00A02465">
      <w:pPr>
        <w:autoSpaceDE w:val="0"/>
        <w:autoSpaceDN w:val="0"/>
        <w:adjustRightInd w:val="0"/>
        <w:spacing w:after="0"/>
        <w:jc w:val="both"/>
        <w:rPr>
          <w:bCs/>
        </w:rPr>
      </w:pPr>
    </w:p>
    <w:p w14:paraId="59B7CEF4" w14:textId="77777777" w:rsidR="00A02465" w:rsidRDefault="00A02465" w:rsidP="00A02465">
      <w:pPr>
        <w:autoSpaceDE w:val="0"/>
        <w:autoSpaceDN w:val="0"/>
        <w:adjustRightInd w:val="0"/>
        <w:spacing w:after="0"/>
        <w:ind w:firstLine="720"/>
        <w:jc w:val="both"/>
        <w:rPr>
          <w:bCs/>
        </w:rPr>
      </w:pPr>
    </w:p>
    <w:p w14:paraId="7B8B47F8" w14:textId="77777777" w:rsidR="00A02465" w:rsidRDefault="00A02465" w:rsidP="00A02465">
      <w:pPr>
        <w:autoSpaceDE w:val="0"/>
        <w:autoSpaceDN w:val="0"/>
        <w:adjustRightInd w:val="0"/>
        <w:spacing w:after="0"/>
        <w:jc w:val="center"/>
        <w:rPr>
          <w:bCs/>
        </w:rPr>
      </w:pPr>
      <w:r>
        <w:rPr>
          <w:bCs/>
        </w:rPr>
        <w:t>*  *  *  *  *</w:t>
      </w:r>
    </w:p>
    <w:p w14:paraId="2954F36D" w14:textId="77777777" w:rsidR="00A02465" w:rsidRDefault="00A02465" w:rsidP="00A02465">
      <w:pPr>
        <w:autoSpaceDE w:val="0"/>
        <w:autoSpaceDN w:val="0"/>
        <w:adjustRightInd w:val="0"/>
        <w:spacing w:after="0"/>
        <w:jc w:val="both"/>
        <w:rPr>
          <w:bCs/>
        </w:rPr>
      </w:pPr>
    </w:p>
    <w:p w14:paraId="3B0B59AA" w14:textId="77777777" w:rsidR="00A02465" w:rsidRDefault="00A02465" w:rsidP="00A02465">
      <w:pPr>
        <w:autoSpaceDE w:val="0"/>
        <w:autoSpaceDN w:val="0"/>
        <w:adjustRightInd w:val="0"/>
        <w:spacing w:after="0"/>
        <w:jc w:val="both"/>
        <w:rPr>
          <w:rFonts w:cs="Times New Roman"/>
          <w:szCs w:val="24"/>
        </w:rPr>
      </w:pPr>
      <w:r>
        <w:rPr>
          <w:bCs/>
        </w:rPr>
        <w:tab/>
        <w:t xml:space="preserve">Again, compliance with the new rules is required </w:t>
      </w:r>
      <w:r>
        <w:rPr>
          <w:b/>
          <w:bCs/>
          <w:u w:val="single"/>
        </w:rPr>
        <w:t>starting today, March 15, 2022</w:t>
      </w:r>
      <w:r>
        <w:rPr>
          <w:bCs/>
        </w:rPr>
        <w:t xml:space="preserve">.  Accordingly, broadcasters entering into new leases for airtime must promptly undertake the steps outlined above and must comply with all other aspects of the new rules.  </w:t>
      </w:r>
      <w:r w:rsidRPr="005503EB">
        <w:rPr>
          <w:b/>
          <w:bCs/>
          <w:u w:val="single"/>
        </w:rPr>
        <w:t xml:space="preserve">The new rules </w:t>
      </w:r>
      <w:r>
        <w:rPr>
          <w:rFonts w:cs="Times New Roman"/>
          <w:b/>
          <w:szCs w:val="24"/>
          <w:u w:val="single"/>
        </w:rPr>
        <w:t>also apply to lease agreements that are currently in effect</w:t>
      </w:r>
      <w:r>
        <w:rPr>
          <w:rFonts w:cs="Times New Roman"/>
          <w:szCs w:val="24"/>
        </w:rPr>
        <w:t xml:space="preserve">; however, the Order specifies that broadcasters have </w:t>
      </w:r>
      <w:r w:rsidRPr="00BE6E80">
        <w:rPr>
          <w:rFonts w:cs="Times New Roman"/>
          <w:szCs w:val="24"/>
        </w:rPr>
        <w:t>six months</w:t>
      </w:r>
      <w:r>
        <w:rPr>
          <w:rFonts w:cs="Times New Roman"/>
          <w:szCs w:val="24"/>
        </w:rPr>
        <w:t xml:space="preserve"> from today’s date to undertake</w:t>
      </w:r>
      <w:r w:rsidRPr="00685C8D">
        <w:rPr>
          <w:rFonts w:cs="Times New Roman"/>
          <w:szCs w:val="24"/>
        </w:rPr>
        <w:t xml:space="preserve"> </w:t>
      </w:r>
      <w:r>
        <w:rPr>
          <w:rFonts w:cs="Times New Roman"/>
          <w:szCs w:val="24"/>
        </w:rPr>
        <w:t xml:space="preserve">the </w:t>
      </w:r>
      <w:r w:rsidRPr="00685C8D">
        <w:rPr>
          <w:rFonts w:cs="Times New Roman"/>
          <w:szCs w:val="24"/>
        </w:rPr>
        <w:t>reasonable diligence</w:t>
      </w:r>
      <w:r>
        <w:rPr>
          <w:rFonts w:cs="Times New Roman"/>
          <w:szCs w:val="24"/>
        </w:rPr>
        <w:t xml:space="preserve"> steps outlined above for those preexisting leases.</w:t>
      </w:r>
    </w:p>
    <w:p w14:paraId="3D7BAA05" w14:textId="77777777" w:rsidR="00A02465" w:rsidRDefault="00A02465" w:rsidP="00A02465">
      <w:pPr>
        <w:autoSpaceDE w:val="0"/>
        <w:autoSpaceDN w:val="0"/>
        <w:adjustRightInd w:val="0"/>
        <w:spacing w:after="0"/>
        <w:jc w:val="both"/>
        <w:rPr>
          <w:rFonts w:cs="Times New Roman"/>
          <w:szCs w:val="24"/>
        </w:rPr>
      </w:pPr>
    </w:p>
    <w:p w14:paraId="4C3664CC" w14:textId="77777777" w:rsidR="00A02465" w:rsidRPr="005729A8" w:rsidRDefault="00A02465" w:rsidP="00A02465">
      <w:pPr>
        <w:autoSpaceDE w:val="0"/>
        <w:autoSpaceDN w:val="0"/>
        <w:adjustRightInd w:val="0"/>
        <w:spacing w:after="0"/>
        <w:ind w:firstLine="720"/>
        <w:jc w:val="both"/>
        <w:rPr>
          <w:rFonts w:cs="Times New Roman"/>
          <w:szCs w:val="24"/>
        </w:rPr>
      </w:pPr>
      <w:r>
        <w:rPr>
          <w:rFonts w:cs="Times New Roman"/>
          <w:szCs w:val="24"/>
        </w:rPr>
        <w:t xml:space="preserve">Please bear in mind that the new foreign sponsorship ID rules contain many nuances that guide broadcasters’ assessment of and compliance with the disclosure and diligence requirements, and the foregoing list is </w:t>
      </w:r>
      <w:r>
        <w:rPr>
          <w:rFonts w:cs="Times New Roman"/>
          <w:b/>
          <w:szCs w:val="24"/>
          <w:u w:val="single"/>
        </w:rPr>
        <w:t>not</w:t>
      </w:r>
      <w:r>
        <w:rPr>
          <w:rFonts w:cs="Times New Roman"/>
          <w:szCs w:val="24"/>
        </w:rPr>
        <w:t xml:space="preserve"> a comprehensive discussion of all the intricacies of the new rules.  For instance, the number of times a foreign sponsorship disclosure must be broadcast varies based on the length of the programming to which it corresponds.  And the definition of “foreign governmental entity” is broader than the term alone suggests, including a “</w:t>
      </w:r>
      <w:r w:rsidRPr="005729A8">
        <w:rPr>
          <w:rFonts w:cs="Times New Roman"/>
          <w:szCs w:val="24"/>
          <w:lang w:val="x-none"/>
        </w:rPr>
        <w:t>foreign political party</w:t>
      </w:r>
      <w:r>
        <w:rPr>
          <w:rFonts w:cs="Times New Roman"/>
          <w:szCs w:val="24"/>
        </w:rPr>
        <w:t>,” an “agent of a foreign principal,” and a “</w:t>
      </w:r>
      <w:r w:rsidRPr="00033C50">
        <w:rPr>
          <w:rFonts w:cs="Times New Roman"/>
          <w:szCs w:val="24"/>
          <w:lang w:val="x-none"/>
        </w:rPr>
        <w:t>U.S.-based foreign media outlet</w:t>
      </w:r>
      <w:r>
        <w:rPr>
          <w:rFonts w:cs="Times New Roman"/>
          <w:szCs w:val="24"/>
        </w:rPr>
        <w:t xml:space="preserve">” as expressly defined in the new rules and other law (where applicable).  We will provide additional compliance information at a later date.  In the interim, we strongly encourage you to consult with your communications counsel regarding how the new foreign sponsorship ID rules may affect your specific factual circumstances, or call the Association hotline with any general questions.  </w:t>
      </w:r>
    </w:p>
    <w:p w14:paraId="5DC5BDED" w14:textId="77777777" w:rsidR="00A02465" w:rsidRPr="00417456" w:rsidRDefault="00A02465" w:rsidP="00A02465">
      <w:pPr>
        <w:tabs>
          <w:tab w:val="left" w:pos="720"/>
        </w:tabs>
        <w:autoSpaceDE w:val="0"/>
        <w:autoSpaceDN w:val="0"/>
        <w:adjustRightInd w:val="0"/>
        <w:spacing w:after="0"/>
        <w:contextualSpacing/>
        <w:rPr>
          <w:rFonts w:eastAsia="Calibri" w:cs="Times New Roman"/>
          <w:color w:val="2E74B5"/>
          <w:szCs w:val="24"/>
        </w:rPr>
      </w:pPr>
    </w:p>
    <w:p w14:paraId="06140272" w14:textId="77777777" w:rsidR="00A02465" w:rsidRDefault="00A02465" w:rsidP="00A02465">
      <w:pPr>
        <w:tabs>
          <w:tab w:val="left" w:pos="720"/>
        </w:tabs>
        <w:autoSpaceDE w:val="0"/>
        <w:autoSpaceDN w:val="0"/>
        <w:adjustRightInd w:val="0"/>
        <w:spacing w:after="0"/>
        <w:contextualSpacing/>
        <w:jc w:val="center"/>
        <w:rPr>
          <w:rFonts w:eastAsia="Calibri" w:cs="Times New Roman"/>
          <w:color w:val="2E74B5"/>
          <w:szCs w:val="24"/>
        </w:rPr>
      </w:pPr>
      <w:bookmarkStart w:id="18" w:name="_Chairman_Pai_Thanks"/>
      <w:bookmarkStart w:id="19" w:name="_National_EAS_Test"/>
      <w:bookmarkEnd w:id="18"/>
      <w:bookmarkEnd w:id="19"/>
      <w:r w:rsidRPr="00417456">
        <w:rPr>
          <w:rFonts w:eastAsia="Calibri" w:cs="Times New Roman"/>
          <w:color w:val="2E74B5"/>
          <w:szCs w:val="24"/>
        </w:rPr>
        <w:t>___________________________</w:t>
      </w:r>
    </w:p>
    <w:p w14:paraId="48AE7E9E" w14:textId="77777777" w:rsidR="00A02465" w:rsidRDefault="00A02465" w:rsidP="00A02465">
      <w:pPr>
        <w:tabs>
          <w:tab w:val="left" w:pos="720"/>
        </w:tabs>
        <w:spacing w:after="0"/>
        <w:ind w:firstLine="720"/>
        <w:jc w:val="right"/>
        <w:rPr>
          <w:rFonts w:eastAsia="Times New Roman" w:cs="Times New Roman"/>
          <w:i/>
          <w:color w:val="000000"/>
          <w:szCs w:val="24"/>
        </w:rPr>
      </w:pPr>
    </w:p>
    <w:p w14:paraId="693C5DDF" w14:textId="77777777" w:rsidR="00A02465" w:rsidRPr="002B6E2A" w:rsidRDefault="00A02465" w:rsidP="00A0246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4BEA121F" w14:textId="77777777" w:rsidR="00A02465" w:rsidRPr="002B6E2A" w:rsidRDefault="00A02465" w:rsidP="00A0246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6DC60E7E" w14:textId="77777777" w:rsidR="00A02465" w:rsidRDefault="00A02465" w:rsidP="00A02465">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6226F2CE" w14:textId="77777777" w:rsidR="00A02465" w:rsidRPr="002B6E2A" w:rsidRDefault="00A02465" w:rsidP="00A02465">
      <w:pPr>
        <w:tabs>
          <w:tab w:val="left" w:pos="720"/>
        </w:tabs>
        <w:spacing w:after="0"/>
        <w:rPr>
          <w:rFonts w:eastAsia="Calibri" w:cs="Times New Roman"/>
          <w:szCs w:val="24"/>
        </w:rPr>
      </w:pPr>
      <w:r>
        <w:rPr>
          <w:rFonts w:eastAsia="Times New Roman" w:cs="Times New Roman"/>
          <w:szCs w:val="24"/>
        </w:rPr>
        <w:br/>
      </w:r>
      <w:hyperlink r:id="rId10"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1" w:history="1">
        <w:r w:rsidRPr="002B6E2A">
          <w:rPr>
            <w:rFonts w:eastAsia="Calibri" w:cs="Times New Roman"/>
            <w:szCs w:val="24"/>
          </w:rPr>
          <w:t>Marcus W. Trathen</w:t>
        </w:r>
      </w:hyperlink>
      <w:r>
        <w:rPr>
          <w:rFonts w:eastAsia="Calibri" w:cs="Times New Roman"/>
          <w:szCs w:val="24"/>
        </w:rPr>
        <w:br/>
      </w:r>
      <w:hyperlink r:id="rId12" w:history="1">
        <w:r w:rsidRPr="002B6E2A">
          <w:rPr>
            <w:rFonts w:eastAsia="Calibri" w:cs="Times New Roman"/>
            <w:szCs w:val="24"/>
          </w:rPr>
          <w:t>David Kushner</w:t>
        </w:r>
      </w:hyperlink>
      <w:r>
        <w:rPr>
          <w:rFonts w:eastAsia="Calibri" w:cs="Times New Roman"/>
          <w:szCs w:val="24"/>
        </w:rPr>
        <w:br/>
      </w:r>
      <w:hyperlink r:id="rId13" w:history="1">
        <w:r w:rsidRPr="002B6E2A">
          <w:rPr>
            <w:rFonts w:eastAsia="Calibri" w:cs="Times New Roman"/>
            <w:szCs w:val="24"/>
          </w:rPr>
          <w:t>Coe W. Ramsey</w:t>
        </w:r>
      </w:hyperlink>
      <w:r>
        <w:rPr>
          <w:rFonts w:eastAsia="Calibri" w:cs="Times New Roman"/>
          <w:szCs w:val="24"/>
        </w:rPr>
        <w:br/>
      </w:r>
      <w:hyperlink r:id="rId14" w:history="1">
        <w:r w:rsidRPr="002B6E2A">
          <w:rPr>
            <w:rFonts w:eastAsia="Calibri" w:cs="Times New Roman"/>
            <w:szCs w:val="24"/>
          </w:rPr>
          <w:t>Stephen Hartzell</w:t>
        </w:r>
      </w:hyperlink>
    </w:p>
    <w:bookmarkStart w:id="20" w:name="_GoBack"/>
    <w:p w14:paraId="0B3DAC92" w14:textId="77777777" w:rsidR="00A02465" w:rsidRPr="002B6E2A" w:rsidRDefault="00B05BF7" w:rsidP="00E1682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r>
        <w:fldChar w:fldCharType="begin"/>
      </w:r>
      <w:r>
        <w:instrText xml:space="preserve"> HYPERLINK "mailto:jambrose@brookspierce.com" </w:instrText>
      </w:r>
      <w:r>
        <w:fldChar w:fldCharType="separate"/>
      </w:r>
      <w:r w:rsidR="00A02465" w:rsidRPr="002B6E2A">
        <w:rPr>
          <w:rFonts w:eastAsia="Calibri" w:cs="Times New Roman"/>
          <w:szCs w:val="24"/>
        </w:rPr>
        <w:t>Julia C. Ambrose</w:t>
      </w:r>
      <w:r>
        <w:rPr>
          <w:rFonts w:eastAsia="Calibri" w:cs="Times New Roman"/>
          <w:szCs w:val="24"/>
        </w:rPr>
        <w:fldChar w:fldCharType="end"/>
      </w:r>
    </w:p>
    <w:p w14:paraId="58120773" w14:textId="77777777" w:rsidR="00A02465" w:rsidRPr="002B6E2A" w:rsidRDefault="00B05BF7" w:rsidP="00E16828">
      <w:pPr>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A02465" w:rsidRPr="002B6E2A">
          <w:rPr>
            <w:rFonts w:eastAsia="Calibri" w:cs="Times New Roman"/>
            <w:szCs w:val="24"/>
          </w:rPr>
          <w:t>Elizabeth E. Spainhour</w:t>
        </w:r>
      </w:hyperlink>
      <w:bookmarkEnd w:id="20"/>
    </w:p>
    <w:p w14:paraId="46B49946" w14:textId="77777777" w:rsidR="00A02465" w:rsidRPr="002B6E2A" w:rsidRDefault="00B05BF7" w:rsidP="00E1682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A02465" w:rsidRPr="002B6E2A">
          <w:rPr>
            <w:rFonts w:eastAsia="Calibri" w:cs="Times New Roman"/>
            <w:szCs w:val="24"/>
          </w:rPr>
          <w:t>J. Benjamin Davis</w:t>
        </w:r>
      </w:hyperlink>
    </w:p>
    <w:p w14:paraId="1968EBBF" w14:textId="77777777" w:rsidR="00A02465" w:rsidRDefault="00B05BF7" w:rsidP="00E1682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A02465">
          <w:rPr>
            <w:rFonts w:eastAsia="Calibri" w:cs="Times New Roman"/>
            <w:szCs w:val="24"/>
          </w:rPr>
          <w:t>Tim</w:t>
        </w:r>
        <w:r w:rsidR="00A02465" w:rsidRPr="002B6E2A">
          <w:rPr>
            <w:rFonts w:eastAsia="Calibri" w:cs="Times New Roman"/>
            <w:szCs w:val="24"/>
          </w:rPr>
          <w:t xml:space="preserve"> Nelson</w:t>
        </w:r>
      </w:hyperlink>
    </w:p>
    <w:p w14:paraId="6928C5A4" w14:textId="77777777" w:rsidR="00A02465" w:rsidRDefault="00B05BF7" w:rsidP="00E16828">
      <w:pPr>
        <w:keepNext/>
        <w:keepLines/>
        <w:widowControl w:val="0"/>
        <w:tabs>
          <w:tab w:val="left" w:pos="738"/>
        </w:tabs>
        <w:spacing w:after="0"/>
        <w:contextualSpacing/>
        <w:rPr>
          <w:rFonts w:eastAsia="Calibri" w:cs="Times New Roman"/>
          <w:szCs w:val="24"/>
        </w:rPr>
      </w:pPr>
      <w:hyperlink r:id="rId18" w:history="1">
        <w:r w:rsidR="00A02465" w:rsidRPr="009105B1">
          <w:rPr>
            <w:rFonts w:eastAsia="Calibri" w:cs="Times New Roman"/>
            <w:szCs w:val="24"/>
          </w:rPr>
          <w:t>Patrick Cross</w:t>
        </w:r>
      </w:hyperlink>
    </w:p>
    <w:p w14:paraId="5C331AD0" w14:textId="77777777" w:rsidR="00A02465" w:rsidRDefault="00A02465" w:rsidP="00E16828">
      <w:pPr>
        <w:keepNext/>
        <w:keepLines/>
        <w:widowControl w:val="0"/>
        <w:tabs>
          <w:tab w:val="left" w:pos="738"/>
        </w:tabs>
        <w:spacing w:after="0"/>
        <w:contextualSpacing/>
        <w:rPr>
          <w:rFonts w:eastAsia="Calibri" w:cs="Times New Roman"/>
          <w:szCs w:val="24"/>
        </w:rPr>
      </w:pPr>
      <w:r>
        <w:rPr>
          <w:rFonts w:eastAsia="Calibri" w:cs="Times New Roman"/>
          <w:szCs w:val="24"/>
        </w:rPr>
        <w:t>Noah Hock</w:t>
      </w:r>
    </w:p>
    <w:p w14:paraId="2F988F88" w14:textId="77777777" w:rsidR="00A02465" w:rsidRPr="00FF2698" w:rsidRDefault="00A02465" w:rsidP="00E16828">
      <w:pPr>
        <w:keepNext/>
        <w:keepLines/>
        <w:widowControl w:val="0"/>
        <w:tabs>
          <w:tab w:val="left" w:pos="738"/>
        </w:tabs>
        <w:spacing w:after="0"/>
        <w:contextualSpacing/>
        <w:rPr>
          <w:rFonts w:eastAsia="Calibri" w:cs="Times New Roman"/>
          <w:szCs w:val="24"/>
        </w:rPr>
      </w:pPr>
      <w:r>
        <w:rPr>
          <w:rFonts w:eastAsia="Calibri" w:cs="Times New Roman"/>
          <w:szCs w:val="24"/>
        </w:rPr>
        <w:t>Micole Little</w:t>
      </w:r>
    </w:p>
    <w:p w14:paraId="0AC71273" w14:textId="77777777" w:rsidR="00A02465" w:rsidRPr="007002E0" w:rsidRDefault="00A02465" w:rsidP="00A02465">
      <w:pPr>
        <w:jc w:val="center"/>
        <w:rPr>
          <w:rFonts w:eastAsia="Calibri" w:cs="Times New Roman"/>
          <w:sz w:val="20"/>
          <w:szCs w:val="20"/>
        </w:rPr>
      </w:pPr>
      <w:r w:rsidRPr="009105B1">
        <w:rPr>
          <w:b/>
          <w:color w:val="2E74B5" w:themeColor="accent1" w:themeShade="BF"/>
          <w:szCs w:val="24"/>
        </w:rPr>
        <w:t>___________________________________</w:t>
      </w:r>
    </w:p>
    <w:p w14:paraId="121B888B" w14:textId="77777777" w:rsidR="00A02465" w:rsidRPr="009105B1" w:rsidRDefault="00A02465" w:rsidP="00A02465">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551E9E7" w14:textId="77777777" w:rsidR="00A02465" w:rsidRPr="009105B1" w:rsidRDefault="00A02465" w:rsidP="00A02465">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72871F9A" w14:textId="77777777" w:rsidR="00A02465" w:rsidRPr="009105B1" w:rsidRDefault="00A02465" w:rsidP="00A02465">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44D44B3C" w14:textId="77777777" w:rsidR="00A02465" w:rsidRDefault="00A02465" w:rsidP="00A02465">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7EF6B99E" w:rsidR="00535205" w:rsidRPr="00A02465" w:rsidRDefault="00535205" w:rsidP="00A02465"/>
    <w:sectPr w:rsidR="00535205" w:rsidRPr="00A02465" w:rsidSect="007D19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A001" w14:textId="77777777" w:rsidR="00B05BF7" w:rsidRDefault="00B05BF7" w:rsidP="002B6E2A">
      <w:pPr>
        <w:spacing w:after="0"/>
      </w:pPr>
      <w:r>
        <w:separator/>
      </w:r>
    </w:p>
  </w:endnote>
  <w:endnote w:type="continuationSeparator" w:id="0">
    <w:p w14:paraId="4185A263" w14:textId="77777777" w:rsidR="00B05BF7" w:rsidRDefault="00B05BF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C9925E5"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16828">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6BD9" w14:textId="77777777" w:rsidR="00B05BF7" w:rsidRDefault="00B05BF7" w:rsidP="002B6E2A">
      <w:pPr>
        <w:spacing w:after="0"/>
      </w:pPr>
      <w:r>
        <w:separator/>
      </w:r>
    </w:p>
  </w:footnote>
  <w:footnote w:type="continuationSeparator" w:id="0">
    <w:p w14:paraId="4964547C" w14:textId="77777777" w:rsidR="00B05BF7" w:rsidRDefault="00B05BF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C23FE"/>
    <w:multiLevelType w:val="hybridMultilevel"/>
    <w:tmpl w:val="B9CC3B66"/>
    <w:lvl w:ilvl="0" w:tplc="31CA7BC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22"/>
  </w:num>
  <w:num w:numId="4">
    <w:abstractNumId w:val="32"/>
  </w:num>
  <w:num w:numId="5">
    <w:abstractNumId w:val="17"/>
  </w:num>
  <w:num w:numId="6">
    <w:abstractNumId w:val="5"/>
  </w:num>
  <w:num w:numId="7">
    <w:abstractNumId w:val="20"/>
  </w:num>
  <w:num w:numId="8">
    <w:abstractNumId w:val="10"/>
  </w:num>
  <w:num w:numId="9">
    <w:abstractNumId w:val="7"/>
  </w:num>
  <w:num w:numId="10">
    <w:abstractNumId w:val="30"/>
  </w:num>
  <w:num w:numId="11">
    <w:abstractNumId w:val="27"/>
  </w:num>
  <w:num w:numId="12">
    <w:abstractNumId w:val="31"/>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4"/>
  </w:num>
  <w:num w:numId="20">
    <w:abstractNumId w:val="3"/>
  </w:num>
  <w:num w:numId="21">
    <w:abstractNumId w:val="33"/>
  </w:num>
  <w:num w:numId="22">
    <w:abstractNumId w:val="19"/>
  </w:num>
  <w:num w:numId="23">
    <w:abstractNumId w:val="11"/>
  </w:num>
  <w:num w:numId="24">
    <w:abstractNumId w:val="15"/>
  </w:num>
  <w:num w:numId="25">
    <w:abstractNumId w:val="24"/>
  </w:num>
  <w:num w:numId="26">
    <w:abstractNumId w:val="25"/>
  </w:num>
  <w:num w:numId="27">
    <w:abstractNumId w:val="8"/>
  </w:num>
  <w:num w:numId="28">
    <w:abstractNumId w:val="13"/>
  </w:num>
  <w:num w:numId="29">
    <w:abstractNumId w:val="28"/>
  </w:num>
  <w:num w:numId="30">
    <w:abstractNumId w:val="14"/>
  </w:num>
  <w:num w:numId="31">
    <w:abstractNumId w:val="18"/>
  </w:num>
  <w:num w:numId="32">
    <w:abstractNumId w:val="26"/>
  </w:num>
  <w:num w:numId="33">
    <w:abstractNumId w:val="12"/>
  </w:num>
  <w:num w:numId="34">
    <w:abstractNumId w:val="21"/>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D15"/>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21D"/>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53D"/>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AFB"/>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378"/>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246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BF7"/>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6828"/>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1-42A1.pdf" TargetMode="External"/><Relationship Id="rId13" Type="http://schemas.openxmlformats.org/officeDocument/2006/relationships/hyperlink" Target="mailto:cramsey@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kushner@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athen@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prak@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fcc.gov/public/attachments/DA-21-945A1.pdf" TargetMode="External"/><Relationship Id="rId14" Type="http://schemas.openxmlformats.org/officeDocument/2006/relationships/hyperlink" Target="mailto:shartzell@brookspierce.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23EA-030D-4E35-828B-5D13BCFD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7861</Characters>
  <Application>Microsoft Office Word</Application>
  <DocSecurity>0</DocSecurity>
  <Lines>154</Lines>
  <Paragraphs>48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3</cp:revision>
  <cp:lastPrinted>2019-12-03T19:11:00Z</cp:lastPrinted>
  <dcterms:created xsi:type="dcterms:W3CDTF">2022-03-15T17:52:00Z</dcterms:created>
  <dcterms:modified xsi:type="dcterms:W3CDTF">2022-03-15T18:09:00Z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