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4B0ED" w14:textId="3F7BBB77" w:rsidR="003D72D0" w:rsidRDefault="003D72D0" w:rsidP="002572DF">
      <w:pPr>
        <w:spacing w:after="0"/>
        <w:textAlignment w:val="baseline"/>
        <w:rPr>
          <w:rFonts w:eastAsia="Times New Roman" w:cs="Times New Roman"/>
          <w:color w:val="000000"/>
          <w:spacing w:val="1"/>
          <w:sz w:val="26"/>
          <w:szCs w:val="26"/>
        </w:rPr>
      </w:pPr>
    </w:p>
    <w:p w14:paraId="78E73E63" w14:textId="26ABAAD0" w:rsidR="007E3A00" w:rsidRPr="002B6E2A" w:rsidRDefault="000F6F05"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June 4</w:t>
      </w:r>
      <w:r w:rsidR="00A86404">
        <w:rPr>
          <w:rFonts w:eastAsia="Times New Roman" w:cs="Times New Roman"/>
          <w:color w:val="000000"/>
          <w:spacing w:val="1"/>
          <w:sz w:val="26"/>
          <w:szCs w:val="26"/>
        </w:rPr>
        <w:t>,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230F0B86" w14:textId="77777777" w:rsidR="001E3E16" w:rsidRDefault="003904DF" w:rsidP="003904DF">
      <w:pPr>
        <w:spacing w:after="0"/>
        <w:contextualSpacing/>
        <w:jc w:val="center"/>
        <w:rPr>
          <w:rFonts w:asciiTheme="majorHAnsi" w:eastAsiaTheme="majorEastAsia" w:hAnsiTheme="majorHAnsi" w:cstheme="majorBidi"/>
          <w:color w:val="2E74B5" w:themeColor="accent1" w:themeShade="BF"/>
          <w:spacing w:val="-10"/>
          <w:kern w:val="28"/>
          <w:sz w:val="36"/>
          <w:szCs w:val="36"/>
        </w:rPr>
      </w:pPr>
      <w:r w:rsidRPr="003904DF">
        <w:rPr>
          <w:rFonts w:asciiTheme="majorHAnsi" w:eastAsiaTheme="majorEastAsia" w:hAnsiTheme="majorHAnsi" w:cstheme="majorBidi"/>
          <w:color w:val="2E74B5" w:themeColor="accent1" w:themeShade="BF"/>
          <w:spacing w:val="-10"/>
          <w:kern w:val="28"/>
          <w:sz w:val="36"/>
          <w:szCs w:val="36"/>
        </w:rPr>
        <w:t xml:space="preserve">FCC </w:t>
      </w:r>
      <w:r w:rsidR="001E3E16">
        <w:rPr>
          <w:rFonts w:asciiTheme="majorHAnsi" w:eastAsiaTheme="majorEastAsia" w:hAnsiTheme="majorHAnsi" w:cstheme="majorBidi"/>
          <w:color w:val="2E74B5" w:themeColor="accent1" w:themeShade="BF"/>
          <w:spacing w:val="-10"/>
          <w:kern w:val="28"/>
          <w:sz w:val="36"/>
          <w:szCs w:val="36"/>
        </w:rPr>
        <w:t>Adopts</w:t>
      </w:r>
      <w:r w:rsidRPr="003904DF">
        <w:rPr>
          <w:rFonts w:asciiTheme="majorHAnsi" w:eastAsiaTheme="majorEastAsia" w:hAnsiTheme="majorHAnsi" w:cstheme="majorBidi"/>
          <w:color w:val="2E74B5" w:themeColor="accent1" w:themeShade="BF"/>
          <w:spacing w:val="-10"/>
          <w:kern w:val="28"/>
          <w:sz w:val="36"/>
          <w:szCs w:val="36"/>
        </w:rPr>
        <w:t xml:space="preserve"> Order </w:t>
      </w:r>
      <w:r w:rsidR="001E3E16">
        <w:rPr>
          <w:rFonts w:asciiTheme="majorHAnsi" w:eastAsiaTheme="majorEastAsia" w:hAnsiTheme="majorHAnsi" w:cstheme="majorBidi"/>
          <w:color w:val="2E74B5" w:themeColor="accent1" w:themeShade="BF"/>
          <w:spacing w:val="-10"/>
          <w:kern w:val="28"/>
          <w:sz w:val="36"/>
          <w:szCs w:val="36"/>
        </w:rPr>
        <w:t>Reinstating</w:t>
      </w:r>
      <w:r w:rsidRPr="003904DF">
        <w:rPr>
          <w:rFonts w:asciiTheme="majorHAnsi" w:eastAsiaTheme="majorEastAsia" w:hAnsiTheme="majorHAnsi" w:cstheme="majorBidi"/>
          <w:color w:val="2E74B5" w:themeColor="accent1" w:themeShade="BF"/>
          <w:spacing w:val="-10"/>
          <w:kern w:val="28"/>
          <w:sz w:val="36"/>
          <w:szCs w:val="36"/>
        </w:rPr>
        <w:t xml:space="preserve"> 2017 </w:t>
      </w:r>
      <w:r w:rsidR="00C0539A">
        <w:rPr>
          <w:rFonts w:asciiTheme="majorHAnsi" w:eastAsiaTheme="majorEastAsia" w:hAnsiTheme="majorHAnsi" w:cstheme="majorBidi"/>
          <w:color w:val="2E74B5" w:themeColor="accent1" w:themeShade="BF"/>
          <w:spacing w:val="-10"/>
          <w:kern w:val="28"/>
          <w:sz w:val="36"/>
          <w:szCs w:val="36"/>
        </w:rPr>
        <w:t xml:space="preserve">Media </w:t>
      </w:r>
      <w:r w:rsidRPr="003904DF">
        <w:rPr>
          <w:rFonts w:asciiTheme="majorHAnsi" w:eastAsiaTheme="majorEastAsia" w:hAnsiTheme="majorHAnsi" w:cstheme="majorBidi"/>
          <w:color w:val="2E74B5" w:themeColor="accent1" w:themeShade="BF"/>
          <w:spacing w:val="-10"/>
          <w:kern w:val="28"/>
          <w:sz w:val="36"/>
          <w:szCs w:val="36"/>
        </w:rPr>
        <w:t xml:space="preserve">Ownership Rule Changes and </w:t>
      </w:r>
      <w:r w:rsidR="001E3E16">
        <w:rPr>
          <w:rFonts w:asciiTheme="majorHAnsi" w:eastAsiaTheme="majorEastAsia" w:hAnsiTheme="majorHAnsi" w:cstheme="majorBidi"/>
          <w:color w:val="2E74B5" w:themeColor="accent1" w:themeShade="BF"/>
          <w:spacing w:val="-10"/>
          <w:kern w:val="28"/>
          <w:sz w:val="36"/>
          <w:szCs w:val="36"/>
        </w:rPr>
        <w:t xml:space="preserve">Issues </w:t>
      </w:r>
      <w:r w:rsidRPr="003904DF">
        <w:rPr>
          <w:rFonts w:asciiTheme="majorHAnsi" w:eastAsiaTheme="majorEastAsia" w:hAnsiTheme="majorHAnsi" w:cstheme="majorBidi"/>
          <w:color w:val="2E74B5" w:themeColor="accent1" w:themeShade="BF"/>
          <w:spacing w:val="-10"/>
          <w:kern w:val="28"/>
          <w:sz w:val="36"/>
          <w:szCs w:val="36"/>
        </w:rPr>
        <w:t xml:space="preserve">Public Notice Seeking to </w:t>
      </w:r>
    </w:p>
    <w:p w14:paraId="498BD04B" w14:textId="092672CE" w:rsidR="00840422" w:rsidRPr="003904DF" w:rsidRDefault="003904DF" w:rsidP="003904DF">
      <w:pPr>
        <w:spacing w:after="0"/>
        <w:contextualSpacing/>
        <w:jc w:val="center"/>
        <w:rPr>
          <w:rFonts w:eastAsia="Times New Roman"/>
          <w:sz w:val="36"/>
          <w:szCs w:val="36"/>
        </w:rPr>
      </w:pPr>
      <w:r w:rsidRPr="003904DF">
        <w:rPr>
          <w:rFonts w:asciiTheme="majorHAnsi" w:eastAsiaTheme="majorEastAsia" w:hAnsiTheme="majorHAnsi" w:cstheme="majorBidi"/>
          <w:color w:val="2E74B5" w:themeColor="accent1" w:themeShade="BF"/>
          <w:spacing w:val="-10"/>
          <w:kern w:val="28"/>
          <w:sz w:val="36"/>
          <w:szCs w:val="36"/>
        </w:rPr>
        <w:t xml:space="preserve">Refresh </w:t>
      </w:r>
      <w:r w:rsidR="00906845">
        <w:rPr>
          <w:rFonts w:asciiTheme="majorHAnsi" w:eastAsiaTheme="majorEastAsia" w:hAnsiTheme="majorHAnsi" w:cstheme="majorBidi"/>
          <w:color w:val="2E74B5" w:themeColor="accent1" w:themeShade="BF"/>
          <w:spacing w:val="-10"/>
          <w:kern w:val="28"/>
          <w:sz w:val="36"/>
          <w:szCs w:val="36"/>
        </w:rPr>
        <w:t>Record in 2018</w:t>
      </w:r>
      <w:bookmarkStart w:id="0" w:name="_GoBack"/>
      <w:bookmarkEnd w:id="0"/>
      <w:r w:rsidR="00906845">
        <w:rPr>
          <w:rFonts w:asciiTheme="majorHAnsi" w:eastAsiaTheme="majorEastAsia" w:hAnsiTheme="majorHAnsi" w:cstheme="majorBidi"/>
          <w:color w:val="2E74B5" w:themeColor="accent1" w:themeShade="BF"/>
          <w:spacing w:val="-10"/>
          <w:kern w:val="28"/>
          <w:sz w:val="36"/>
          <w:szCs w:val="36"/>
        </w:rPr>
        <w:t xml:space="preserve"> Quadrennial Review</w:t>
      </w:r>
    </w:p>
    <w:p w14:paraId="13C2ABF5" w14:textId="77777777" w:rsidR="00840422" w:rsidRDefault="00840422" w:rsidP="00840422">
      <w:pPr>
        <w:autoSpaceDE w:val="0"/>
        <w:autoSpaceDN w:val="0"/>
        <w:adjustRightInd w:val="0"/>
        <w:spacing w:after="0"/>
        <w:ind w:firstLine="720"/>
        <w:jc w:val="both"/>
        <w:rPr>
          <w:rFonts w:eastAsia="Calibri" w:cs="Times New Roman"/>
          <w:szCs w:val="24"/>
        </w:rPr>
      </w:pPr>
    </w:p>
    <w:p w14:paraId="420B93A5" w14:textId="0943E690" w:rsidR="001E3E16" w:rsidRDefault="00F51B2F"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1E3E16">
        <w:rPr>
          <w:rFonts w:eastAsia="Calibri" w:cs="Times New Roman"/>
          <w:szCs w:val="24"/>
        </w:rPr>
        <w:t xml:space="preserve">Earlier this afternoon—and approximately two months after the U.S. Supreme Court’s unanimous opinion in the </w:t>
      </w:r>
      <w:r w:rsidR="001E3E16">
        <w:rPr>
          <w:rFonts w:eastAsia="Calibri" w:cs="Times New Roman"/>
          <w:i/>
          <w:szCs w:val="24"/>
        </w:rPr>
        <w:t>Prometheus</w:t>
      </w:r>
      <w:r w:rsidR="001E3E16">
        <w:rPr>
          <w:rFonts w:eastAsia="Calibri" w:cs="Times New Roman"/>
          <w:szCs w:val="24"/>
        </w:rPr>
        <w:t xml:space="preserve"> multiple ownership case—</w:t>
      </w:r>
      <w:r w:rsidR="000F6F05">
        <w:rPr>
          <w:rFonts w:eastAsia="Calibri" w:cs="Times New Roman"/>
          <w:szCs w:val="24"/>
        </w:rPr>
        <w:t xml:space="preserve">the FCC </w:t>
      </w:r>
      <w:r w:rsidR="001E3E16">
        <w:rPr>
          <w:rFonts w:eastAsia="Calibri" w:cs="Times New Roman"/>
          <w:szCs w:val="24"/>
        </w:rPr>
        <w:t xml:space="preserve">(1) released an </w:t>
      </w:r>
      <w:hyperlink r:id="rId8" w:history="1">
        <w:r w:rsidR="000F6F05" w:rsidRPr="000F6F05">
          <w:rPr>
            <w:rStyle w:val="Hyperlink"/>
            <w:rFonts w:eastAsia="Calibri" w:cs="Times New Roman"/>
            <w:szCs w:val="24"/>
          </w:rPr>
          <w:t>Order</w:t>
        </w:r>
      </w:hyperlink>
      <w:r w:rsidR="000F6F05">
        <w:rPr>
          <w:rFonts w:eastAsia="Calibri" w:cs="Times New Roman"/>
          <w:szCs w:val="24"/>
        </w:rPr>
        <w:t xml:space="preserve"> </w:t>
      </w:r>
      <w:r w:rsidR="00906845">
        <w:rPr>
          <w:rFonts w:eastAsia="Calibri" w:cs="Times New Roman"/>
          <w:szCs w:val="24"/>
        </w:rPr>
        <w:t xml:space="preserve">(the </w:t>
      </w:r>
      <w:r w:rsidR="00CB2C15">
        <w:rPr>
          <w:rFonts w:eastAsia="Calibri" w:cs="Times New Roman"/>
          <w:szCs w:val="24"/>
        </w:rPr>
        <w:t xml:space="preserve">“Reinstatement </w:t>
      </w:r>
      <w:r w:rsidR="00906845">
        <w:rPr>
          <w:rFonts w:eastAsia="Calibri" w:cs="Times New Roman"/>
          <w:szCs w:val="24"/>
        </w:rPr>
        <w:t xml:space="preserve">Order”) </w:t>
      </w:r>
      <w:r w:rsidR="001E3E16">
        <w:rPr>
          <w:rFonts w:eastAsia="Calibri" w:cs="Times New Roman"/>
          <w:szCs w:val="24"/>
        </w:rPr>
        <w:t>formally reinstating, among other things,</w:t>
      </w:r>
      <w:r w:rsidR="000F6F05">
        <w:rPr>
          <w:rFonts w:eastAsia="Calibri" w:cs="Times New Roman"/>
          <w:szCs w:val="24"/>
        </w:rPr>
        <w:t xml:space="preserve"> </w:t>
      </w:r>
      <w:r w:rsidR="001E3E16">
        <w:rPr>
          <w:rFonts w:eastAsia="Calibri" w:cs="Times New Roman"/>
          <w:szCs w:val="24"/>
        </w:rPr>
        <w:t xml:space="preserve">various 2017 multiple ownership rules changes; and (2) issued a </w:t>
      </w:r>
      <w:hyperlink r:id="rId9" w:history="1">
        <w:r w:rsidR="001E3E16" w:rsidRPr="00CE0810">
          <w:rPr>
            <w:rStyle w:val="Hyperlink"/>
            <w:rFonts w:eastAsia="Calibri" w:cs="Times New Roman"/>
            <w:szCs w:val="24"/>
          </w:rPr>
          <w:t>Public Notice</w:t>
        </w:r>
      </w:hyperlink>
      <w:r w:rsidR="001E3E16">
        <w:rPr>
          <w:rFonts w:eastAsia="Calibri" w:cs="Times New Roman"/>
          <w:szCs w:val="24"/>
        </w:rPr>
        <w:t xml:space="preserve"> (the “Notice”) seeking to update the record in the FCC’s open 2018 Quadrennial Regulatory Review proceeding (t</w:t>
      </w:r>
      <w:r w:rsidR="00117EDD">
        <w:rPr>
          <w:rFonts w:eastAsia="Calibri" w:cs="Times New Roman"/>
          <w:szCs w:val="24"/>
        </w:rPr>
        <w:t>he “2018 Quadrennial Review”).</w:t>
      </w:r>
    </w:p>
    <w:p w14:paraId="4A3BFF7F" w14:textId="6F88E0D8" w:rsidR="001E3E16" w:rsidRDefault="001E3E16" w:rsidP="005D17C8">
      <w:pPr>
        <w:tabs>
          <w:tab w:val="left" w:pos="720"/>
        </w:tabs>
        <w:autoSpaceDE w:val="0"/>
        <w:autoSpaceDN w:val="0"/>
        <w:adjustRightInd w:val="0"/>
        <w:spacing w:after="0"/>
        <w:contextualSpacing/>
        <w:jc w:val="both"/>
        <w:rPr>
          <w:rFonts w:eastAsia="Calibri" w:cs="Times New Roman"/>
          <w:szCs w:val="24"/>
        </w:rPr>
      </w:pPr>
    </w:p>
    <w:p w14:paraId="79BE28FC" w14:textId="6278DE0F" w:rsidR="00781732" w:rsidRDefault="001E3E16"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While the Commission’s adoption of the </w:t>
      </w:r>
      <w:r w:rsidR="00223B63">
        <w:rPr>
          <w:rFonts w:eastAsia="Calibri" w:cs="Times New Roman"/>
          <w:szCs w:val="24"/>
        </w:rPr>
        <w:t xml:space="preserve">Reinstatement </w:t>
      </w:r>
      <w:r>
        <w:rPr>
          <w:rFonts w:eastAsia="Calibri" w:cs="Times New Roman"/>
          <w:szCs w:val="24"/>
        </w:rPr>
        <w:t xml:space="preserve">Order largely “checks some administrative and procedural boxes,” to put it colloquially, the issuance of the Public Notice provides broadcasters further opportunity </w:t>
      </w:r>
      <w:r w:rsidR="00781732">
        <w:rPr>
          <w:rFonts w:eastAsia="Calibri" w:cs="Times New Roman"/>
          <w:szCs w:val="24"/>
        </w:rPr>
        <w:t xml:space="preserve">to refresh the record in the </w:t>
      </w:r>
      <w:r w:rsidR="00CB2C15">
        <w:rPr>
          <w:rFonts w:eastAsia="Calibri" w:cs="Times New Roman"/>
          <w:szCs w:val="24"/>
        </w:rPr>
        <w:t xml:space="preserve">2018 </w:t>
      </w:r>
      <w:r w:rsidR="00781732">
        <w:rPr>
          <w:rFonts w:eastAsia="Calibri" w:cs="Times New Roman"/>
          <w:szCs w:val="24"/>
        </w:rPr>
        <w:t>Quadrennial Review in the hopes of persuading the FCC to make further changes (or not</w:t>
      </w:r>
      <w:r w:rsidR="00BA5AC5">
        <w:rPr>
          <w:rFonts w:eastAsia="Calibri" w:cs="Times New Roman"/>
          <w:szCs w:val="24"/>
        </w:rPr>
        <w:t>, depending on one’s viewpoint</w:t>
      </w:r>
      <w:r w:rsidR="00781732">
        <w:rPr>
          <w:rFonts w:eastAsia="Calibri" w:cs="Times New Roman"/>
          <w:szCs w:val="24"/>
        </w:rPr>
        <w:t xml:space="preserve">!) to its broadcast multiple ownership rules. </w:t>
      </w:r>
    </w:p>
    <w:p w14:paraId="6F8FC8FC" w14:textId="77777777" w:rsidR="00781732" w:rsidRDefault="00781732" w:rsidP="005D17C8">
      <w:pPr>
        <w:tabs>
          <w:tab w:val="left" w:pos="720"/>
        </w:tabs>
        <w:autoSpaceDE w:val="0"/>
        <w:autoSpaceDN w:val="0"/>
        <w:adjustRightInd w:val="0"/>
        <w:spacing w:after="0"/>
        <w:contextualSpacing/>
        <w:jc w:val="both"/>
        <w:rPr>
          <w:rFonts w:eastAsia="Calibri" w:cs="Times New Roman"/>
          <w:szCs w:val="24"/>
        </w:rPr>
      </w:pPr>
    </w:p>
    <w:p w14:paraId="09F021BD" w14:textId="54A43810" w:rsidR="00781732" w:rsidRDefault="00781732" w:rsidP="005D17C8">
      <w:pPr>
        <w:tabs>
          <w:tab w:val="left" w:pos="720"/>
        </w:tabs>
        <w:autoSpaceDE w:val="0"/>
        <w:autoSpaceDN w:val="0"/>
        <w:adjustRightInd w:val="0"/>
        <w:spacing w:after="0"/>
        <w:contextualSpacing/>
        <w:jc w:val="both"/>
        <w:rPr>
          <w:rFonts w:eastAsia="Calibri" w:cs="Times New Roman"/>
          <w:szCs w:val="24"/>
        </w:rPr>
      </w:pPr>
      <w:r w:rsidRPr="00781732">
        <w:rPr>
          <w:rFonts w:eastAsia="Calibri" w:cs="Times New Roman"/>
          <w:i/>
          <w:color w:val="2E74B5" w:themeColor="accent1" w:themeShade="BF"/>
          <w:szCs w:val="24"/>
        </w:rPr>
        <w:t>The Reinstatement Order</w:t>
      </w:r>
      <w:r>
        <w:rPr>
          <w:rFonts w:eastAsia="Calibri" w:cs="Times New Roman"/>
          <w:szCs w:val="24"/>
        </w:rPr>
        <w:t xml:space="preserve">.  As broadcasters are well aware, </w:t>
      </w:r>
      <w:r w:rsidR="00CB2C15">
        <w:rPr>
          <w:rFonts w:eastAsia="Calibri" w:cs="Times New Roman"/>
          <w:szCs w:val="24"/>
        </w:rPr>
        <w:t xml:space="preserve">in 2019 </w:t>
      </w:r>
      <w:r>
        <w:rPr>
          <w:rFonts w:eastAsia="Calibri" w:cs="Times New Roman"/>
          <w:szCs w:val="24"/>
        </w:rPr>
        <w:t xml:space="preserve">the Third Circuit Court of Appeals vacated and remanded </w:t>
      </w:r>
      <w:r w:rsidR="000F6F05">
        <w:rPr>
          <w:rFonts w:eastAsia="Calibri" w:cs="Times New Roman"/>
          <w:szCs w:val="24"/>
        </w:rPr>
        <w:t>the FCC’s 2017 Order on Reconsideration,</w:t>
      </w:r>
      <w:r w:rsidR="00BA5AC5">
        <w:rPr>
          <w:rFonts w:eastAsia="Calibri" w:cs="Times New Roman"/>
          <w:szCs w:val="24"/>
        </w:rPr>
        <w:t xml:space="preserve"> as well as the Commission’s</w:t>
      </w:r>
      <w:r>
        <w:rPr>
          <w:rFonts w:eastAsia="Calibri" w:cs="Times New Roman"/>
          <w:szCs w:val="24"/>
        </w:rPr>
        <w:t xml:space="preserve"> 2018 Incubator Order </w:t>
      </w:r>
      <w:r w:rsidR="000F6F05">
        <w:rPr>
          <w:rFonts w:eastAsia="Calibri" w:cs="Times New Roman"/>
          <w:szCs w:val="24"/>
        </w:rPr>
        <w:t xml:space="preserve">and the </w:t>
      </w:r>
      <w:r w:rsidR="00BA5AC5">
        <w:rPr>
          <w:rFonts w:eastAsia="Calibri" w:cs="Times New Roman"/>
          <w:szCs w:val="24"/>
        </w:rPr>
        <w:t xml:space="preserve">FCC’s </w:t>
      </w:r>
      <w:r>
        <w:rPr>
          <w:rFonts w:eastAsia="Calibri" w:cs="Times New Roman"/>
          <w:szCs w:val="24"/>
        </w:rPr>
        <w:t>“</w:t>
      </w:r>
      <w:r w:rsidR="000F6F05">
        <w:rPr>
          <w:rFonts w:eastAsia="Calibri" w:cs="Times New Roman"/>
          <w:szCs w:val="24"/>
        </w:rPr>
        <w:t>eligible entity</w:t>
      </w:r>
      <w:r>
        <w:rPr>
          <w:rFonts w:eastAsia="Calibri" w:cs="Times New Roman"/>
          <w:szCs w:val="24"/>
        </w:rPr>
        <w:t>”</w:t>
      </w:r>
      <w:r w:rsidR="00BA5AC5">
        <w:rPr>
          <w:rFonts w:eastAsia="Calibri" w:cs="Times New Roman"/>
          <w:szCs w:val="24"/>
        </w:rPr>
        <w:t xml:space="preserve"> definition as adopted in its</w:t>
      </w:r>
      <w:r w:rsidR="000F6F05">
        <w:rPr>
          <w:rFonts w:eastAsia="Calibri" w:cs="Times New Roman"/>
          <w:szCs w:val="24"/>
        </w:rPr>
        <w:t xml:space="preserve"> 2016 Second Report and Order.</w:t>
      </w:r>
      <w:r>
        <w:rPr>
          <w:rFonts w:eastAsia="Calibri" w:cs="Times New Roman"/>
          <w:szCs w:val="24"/>
        </w:rPr>
        <w:t xml:space="preserve">  In the </w:t>
      </w:r>
      <w:r w:rsidR="00CB2C15">
        <w:rPr>
          <w:rFonts w:eastAsia="Calibri" w:cs="Times New Roman"/>
          <w:szCs w:val="24"/>
        </w:rPr>
        <w:t xml:space="preserve">case of </w:t>
      </w:r>
      <w:r w:rsidRPr="00781732">
        <w:rPr>
          <w:rFonts w:eastAsia="Calibri" w:cs="Times New Roman"/>
          <w:i/>
          <w:szCs w:val="24"/>
        </w:rPr>
        <w:t>FCC v. Prometheus Radio Project</w:t>
      </w:r>
      <w:r>
        <w:rPr>
          <w:rFonts w:eastAsia="Calibri" w:cs="Times New Roman"/>
          <w:szCs w:val="24"/>
        </w:rPr>
        <w:t>, however, the Supreme Court reversed the Third Circuit’s decision regarding the Commission’s media ownership rules.</w:t>
      </w:r>
    </w:p>
    <w:p w14:paraId="471A0C7D" w14:textId="77777777" w:rsidR="00781732" w:rsidRDefault="00781732" w:rsidP="005D17C8">
      <w:pPr>
        <w:tabs>
          <w:tab w:val="left" w:pos="720"/>
        </w:tabs>
        <w:autoSpaceDE w:val="0"/>
        <w:autoSpaceDN w:val="0"/>
        <w:adjustRightInd w:val="0"/>
        <w:spacing w:after="0"/>
        <w:contextualSpacing/>
        <w:jc w:val="both"/>
        <w:rPr>
          <w:rFonts w:eastAsia="Calibri" w:cs="Times New Roman"/>
          <w:szCs w:val="24"/>
        </w:rPr>
      </w:pPr>
    </w:p>
    <w:p w14:paraId="4496C300" w14:textId="07B12411" w:rsidR="000C0B32" w:rsidRDefault="00781732"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In its </w:t>
      </w:r>
      <w:r w:rsidR="00223B63">
        <w:rPr>
          <w:rFonts w:eastAsia="Calibri" w:cs="Times New Roman"/>
          <w:szCs w:val="24"/>
        </w:rPr>
        <w:t xml:space="preserve">Reinstatement </w:t>
      </w:r>
      <w:r>
        <w:rPr>
          <w:rFonts w:eastAsia="Calibri" w:cs="Times New Roman"/>
          <w:szCs w:val="24"/>
        </w:rPr>
        <w:t xml:space="preserve">Order today, the Commission clarifies that, consistent with the Supreme Court’s </w:t>
      </w:r>
      <w:r w:rsidRPr="00781732">
        <w:rPr>
          <w:rFonts w:eastAsia="Calibri" w:cs="Times New Roman"/>
          <w:i/>
          <w:szCs w:val="24"/>
        </w:rPr>
        <w:t>Prometheus</w:t>
      </w:r>
      <w:r>
        <w:rPr>
          <w:rFonts w:eastAsia="Calibri" w:cs="Times New Roman"/>
          <w:szCs w:val="24"/>
        </w:rPr>
        <w:t xml:space="preserve"> opinion,</w:t>
      </w:r>
      <w:r w:rsidR="00CE0810">
        <w:rPr>
          <w:rFonts w:eastAsia="Calibri" w:cs="Times New Roman"/>
          <w:szCs w:val="24"/>
        </w:rPr>
        <w:t xml:space="preserve"> </w:t>
      </w:r>
      <w:r w:rsidR="00CE0810" w:rsidRPr="00CE0810">
        <w:rPr>
          <w:rFonts w:eastAsia="Calibri" w:cs="Times New Roman"/>
          <w:szCs w:val="24"/>
        </w:rPr>
        <w:t>the Newspaper/Broadcast Cross</w:t>
      </w:r>
      <w:r w:rsidR="00CE0810">
        <w:rPr>
          <w:rFonts w:eastAsia="Calibri" w:cs="Times New Roman"/>
          <w:szCs w:val="24"/>
        </w:rPr>
        <w:t xml:space="preserve"> </w:t>
      </w:r>
      <w:r w:rsidR="00CE0810" w:rsidRPr="00CE0810">
        <w:rPr>
          <w:rFonts w:eastAsia="Calibri" w:cs="Times New Roman"/>
          <w:szCs w:val="24"/>
        </w:rPr>
        <w:t>Ownership Rule, the Radio/Television Cross-Ownership Rule, and the Television Joint Sales Agreement Attribution Rule</w:t>
      </w:r>
      <w:r>
        <w:rPr>
          <w:rFonts w:eastAsia="Calibri" w:cs="Times New Roman"/>
          <w:szCs w:val="24"/>
        </w:rPr>
        <w:t xml:space="preserve"> are</w:t>
      </w:r>
      <w:r w:rsidR="00CE0810" w:rsidRPr="00781732">
        <w:rPr>
          <w:rFonts w:eastAsia="Calibri" w:cs="Times New Roman"/>
          <w:szCs w:val="24"/>
        </w:rPr>
        <w:t xml:space="preserve"> eliminated</w:t>
      </w:r>
      <w:r w:rsidR="00CE0810">
        <w:rPr>
          <w:rFonts w:eastAsia="Calibri" w:cs="Times New Roman"/>
          <w:szCs w:val="24"/>
        </w:rPr>
        <w:t xml:space="preserve">; </w:t>
      </w:r>
      <w:r w:rsidR="004F082B">
        <w:rPr>
          <w:rFonts w:eastAsia="Calibri" w:cs="Times New Roman"/>
          <w:szCs w:val="24"/>
        </w:rPr>
        <w:t xml:space="preserve">and </w:t>
      </w:r>
      <w:r w:rsidR="00CE0810" w:rsidRPr="00CE0810">
        <w:rPr>
          <w:rFonts w:eastAsia="Calibri" w:cs="Times New Roman"/>
          <w:szCs w:val="24"/>
        </w:rPr>
        <w:t>the Local Television Ownership Rule and Local Radio Ownership</w:t>
      </w:r>
      <w:r w:rsidR="00CE0810" w:rsidRPr="00CE0810">
        <w:t xml:space="preserve"> </w:t>
      </w:r>
      <w:r w:rsidR="00CE0810" w:rsidRPr="00CE0810">
        <w:rPr>
          <w:rFonts w:eastAsia="Calibri" w:cs="Times New Roman"/>
          <w:szCs w:val="24"/>
        </w:rPr>
        <w:t>Rule</w:t>
      </w:r>
      <w:r w:rsidR="00CE0810">
        <w:rPr>
          <w:rFonts w:eastAsia="Calibri" w:cs="Times New Roman"/>
          <w:szCs w:val="24"/>
        </w:rPr>
        <w:t xml:space="preserve"> </w:t>
      </w:r>
      <w:r>
        <w:rPr>
          <w:rFonts w:eastAsia="Calibri" w:cs="Times New Roman"/>
          <w:szCs w:val="24"/>
        </w:rPr>
        <w:t xml:space="preserve">are reinstated </w:t>
      </w:r>
      <w:r w:rsidR="00CE0810">
        <w:rPr>
          <w:rFonts w:eastAsia="Calibri" w:cs="Times New Roman"/>
          <w:szCs w:val="24"/>
        </w:rPr>
        <w:t xml:space="preserve">“as </w:t>
      </w:r>
      <w:r w:rsidR="00CE0810" w:rsidRPr="00CE0810">
        <w:rPr>
          <w:rFonts w:eastAsia="Calibri" w:cs="Times New Roman"/>
          <w:szCs w:val="24"/>
        </w:rPr>
        <w:t xml:space="preserve">adopted in the </w:t>
      </w:r>
      <w:r w:rsidR="00CE0810">
        <w:rPr>
          <w:rFonts w:eastAsia="Calibri" w:cs="Times New Roman"/>
          <w:szCs w:val="24"/>
        </w:rPr>
        <w:t xml:space="preserve">[2017] </w:t>
      </w:r>
      <w:r w:rsidR="00CE0810" w:rsidRPr="00CE0810">
        <w:rPr>
          <w:rFonts w:eastAsia="Calibri" w:cs="Times New Roman"/>
          <w:szCs w:val="24"/>
        </w:rPr>
        <w:t>Order on Reconsideration</w:t>
      </w:r>
      <w:r w:rsidR="004F082B">
        <w:rPr>
          <w:rFonts w:eastAsia="Calibri" w:cs="Times New Roman"/>
          <w:szCs w:val="24"/>
        </w:rPr>
        <w:t>.</w:t>
      </w:r>
      <w:r w:rsidR="00CE0810">
        <w:rPr>
          <w:rFonts w:eastAsia="Calibri" w:cs="Times New Roman"/>
          <w:szCs w:val="24"/>
        </w:rPr>
        <w:t>”</w:t>
      </w:r>
      <w:r w:rsidR="00865357">
        <w:rPr>
          <w:rFonts w:eastAsia="Calibri" w:cs="Times New Roman"/>
          <w:szCs w:val="24"/>
        </w:rPr>
        <w:t xml:space="preserve">  </w:t>
      </w:r>
      <w:r>
        <w:rPr>
          <w:rFonts w:eastAsia="Calibri" w:cs="Times New Roman"/>
          <w:szCs w:val="24"/>
        </w:rPr>
        <w:t>In other words, the Eight Voices Test is eliminated</w:t>
      </w:r>
      <w:r w:rsidR="00BA5AC5">
        <w:rPr>
          <w:rFonts w:eastAsia="Calibri" w:cs="Times New Roman"/>
          <w:szCs w:val="24"/>
        </w:rPr>
        <w:t>,</w:t>
      </w:r>
      <w:r w:rsidR="00CB2C15">
        <w:rPr>
          <w:rFonts w:eastAsia="Calibri" w:cs="Times New Roman"/>
          <w:szCs w:val="24"/>
        </w:rPr>
        <w:t xml:space="preserve"> and</w:t>
      </w:r>
      <w:r>
        <w:rPr>
          <w:rFonts w:eastAsia="Calibri" w:cs="Times New Roman"/>
          <w:szCs w:val="24"/>
        </w:rPr>
        <w:t xml:space="preserve"> </w:t>
      </w:r>
      <w:r w:rsidR="00BA5AC5">
        <w:rPr>
          <w:rFonts w:eastAsia="Calibri" w:cs="Times New Roman"/>
          <w:szCs w:val="24"/>
        </w:rPr>
        <w:t>broadcasters</w:t>
      </w:r>
      <w:r w:rsidR="00CB2C15">
        <w:rPr>
          <w:rFonts w:eastAsia="Calibri" w:cs="Times New Roman"/>
          <w:szCs w:val="24"/>
        </w:rPr>
        <w:t xml:space="preserve"> may request that </w:t>
      </w:r>
      <w:r>
        <w:rPr>
          <w:rFonts w:eastAsia="Calibri" w:cs="Times New Roman"/>
          <w:szCs w:val="24"/>
        </w:rPr>
        <w:t xml:space="preserve">the Commission take a case-by-case </w:t>
      </w:r>
      <w:r>
        <w:rPr>
          <w:rFonts w:eastAsia="Calibri" w:cs="Times New Roman"/>
          <w:szCs w:val="24"/>
        </w:rPr>
        <w:lastRenderedPageBreak/>
        <w:t xml:space="preserve">approach to assessing </w:t>
      </w:r>
      <w:r w:rsidR="00BA5AC5">
        <w:rPr>
          <w:rFonts w:eastAsia="Calibri" w:cs="Times New Roman"/>
          <w:szCs w:val="24"/>
        </w:rPr>
        <w:t xml:space="preserve">assignment/transfer </w:t>
      </w:r>
      <w:r>
        <w:rPr>
          <w:rFonts w:eastAsia="Calibri" w:cs="Times New Roman"/>
          <w:szCs w:val="24"/>
        </w:rPr>
        <w:t>applications the grant of which would result in a Two Top-Four Duopoly situation in the same DMA.</w:t>
      </w:r>
    </w:p>
    <w:p w14:paraId="7DD3E938" w14:textId="77777777" w:rsidR="000C0B32" w:rsidRDefault="000C0B32" w:rsidP="005D17C8">
      <w:pPr>
        <w:tabs>
          <w:tab w:val="left" w:pos="720"/>
        </w:tabs>
        <w:autoSpaceDE w:val="0"/>
        <w:autoSpaceDN w:val="0"/>
        <w:adjustRightInd w:val="0"/>
        <w:spacing w:after="0"/>
        <w:contextualSpacing/>
        <w:jc w:val="both"/>
        <w:rPr>
          <w:rFonts w:eastAsia="Calibri" w:cs="Times New Roman"/>
          <w:szCs w:val="24"/>
        </w:rPr>
      </w:pPr>
    </w:p>
    <w:p w14:paraId="5465C01B" w14:textId="6BED8E99" w:rsidR="00781732" w:rsidRPr="00CE0810" w:rsidRDefault="000C0B32"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781732">
        <w:rPr>
          <w:rFonts w:eastAsia="Calibri" w:cs="Times New Roman"/>
          <w:szCs w:val="24"/>
        </w:rPr>
        <w:t>Today’</w:t>
      </w:r>
      <w:r>
        <w:rPr>
          <w:rFonts w:eastAsia="Calibri" w:cs="Times New Roman"/>
          <w:szCs w:val="24"/>
        </w:rPr>
        <w:t xml:space="preserve">s </w:t>
      </w:r>
      <w:r w:rsidR="00223B63">
        <w:rPr>
          <w:rFonts w:eastAsia="Calibri" w:cs="Times New Roman"/>
          <w:szCs w:val="24"/>
        </w:rPr>
        <w:t xml:space="preserve">Reinstatement </w:t>
      </w:r>
      <w:r>
        <w:rPr>
          <w:rFonts w:eastAsia="Calibri" w:cs="Times New Roman"/>
          <w:szCs w:val="24"/>
        </w:rPr>
        <w:t xml:space="preserve">Order also </w:t>
      </w:r>
      <w:r w:rsidR="00223B63">
        <w:rPr>
          <w:rFonts w:eastAsia="Calibri" w:cs="Times New Roman"/>
          <w:szCs w:val="24"/>
        </w:rPr>
        <w:t xml:space="preserve">puts back in place </w:t>
      </w:r>
      <w:r>
        <w:rPr>
          <w:rFonts w:eastAsia="Calibri" w:cs="Times New Roman"/>
          <w:szCs w:val="24"/>
        </w:rPr>
        <w:t xml:space="preserve">the FCC’s changes adopted </w:t>
      </w:r>
      <w:r w:rsidR="00CB2C15">
        <w:rPr>
          <w:rFonts w:eastAsia="Calibri" w:cs="Times New Roman"/>
          <w:szCs w:val="24"/>
        </w:rPr>
        <w:t xml:space="preserve">in </w:t>
      </w:r>
      <w:r w:rsidR="00CB6A3D">
        <w:rPr>
          <w:rFonts w:eastAsia="Calibri" w:cs="Times New Roman"/>
          <w:szCs w:val="24"/>
        </w:rPr>
        <w:t>its 2018 Incubator Order and its</w:t>
      </w:r>
      <w:r>
        <w:rPr>
          <w:rFonts w:eastAsia="Calibri" w:cs="Times New Roman"/>
          <w:szCs w:val="24"/>
        </w:rPr>
        <w:t xml:space="preserve"> 2016 definition of </w:t>
      </w:r>
      <w:r w:rsidR="00781732">
        <w:rPr>
          <w:rFonts w:eastAsia="Calibri" w:cs="Times New Roman"/>
          <w:szCs w:val="24"/>
        </w:rPr>
        <w:t>“eligible entity</w:t>
      </w:r>
      <w:r>
        <w:rPr>
          <w:rFonts w:eastAsia="Calibri" w:cs="Times New Roman"/>
          <w:szCs w:val="24"/>
        </w:rPr>
        <w:t xml:space="preserve">.”  Note that the amendments to the Commission’s Rules that are necessary, technically speaking, to reinstate the various Rules at issue </w:t>
      </w:r>
      <w:r w:rsidR="00CB6A3D">
        <w:rPr>
          <w:rFonts w:eastAsia="Calibri" w:cs="Times New Roman"/>
          <w:szCs w:val="24"/>
        </w:rPr>
        <w:t xml:space="preserve">(i.e., actually changing the regulatory language) </w:t>
      </w:r>
      <w:r>
        <w:rPr>
          <w:rFonts w:eastAsia="Calibri" w:cs="Times New Roman"/>
          <w:szCs w:val="24"/>
        </w:rPr>
        <w:t xml:space="preserve">will not be made until today’s </w:t>
      </w:r>
      <w:r w:rsidR="00223B63">
        <w:rPr>
          <w:rFonts w:eastAsia="Calibri" w:cs="Times New Roman"/>
          <w:szCs w:val="24"/>
        </w:rPr>
        <w:t xml:space="preserve">Reinstatement </w:t>
      </w:r>
      <w:r>
        <w:rPr>
          <w:rFonts w:eastAsia="Calibri" w:cs="Times New Roman"/>
          <w:szCs w:val="24"/>
        </w:rPr>
        <w:t xml:space="preserve">Order is published in the </w:t>
      </w:r>
      <w:r w:rsidRPr="00CB2C15">
        <w:rPr>
          <w:rFonts w:eastAsia="Calibri" w:cs="Times New Roman"/>
          <w:i/>
          <w:szCs w:val="24"/>
        </w:rPr>
        <w:t>Federal Register</w:t>
      </w:r>
      <w:r>
        <w:rPr>
          <w:rFonts w:eastAsia="Calibri" w:cs="Times New Roman"/>
          <w:szCs w:val="24"/>
        </w:rPr>
        <w:t xml:space="preserve">; we anticipate publication </w:t>
      </w:r>
      <w:r w:rsidR="00CB6A3D">
        <w:rPr>
          <w:rFonts w:eastAsia="Calibri" w:cs="Times New Roman"/>
          <w:szCs w:val="24"/>
        </w:rPr>
        <w:t>will</w:t>
      </w:r>
      <w:r w:rsidR="00A2782C">
        <w:rPr>
          <w:rFonts w:eastAsia="Calibri" w:cs="Times New Roman"/>
          <w:szCs w:val="24"/>
        </w:rPr>
        <w:t xml:space="preserve"> </w:t>
      </w:r>
      <w:r>
        <w:rPr>
          <w:rFonts w:eastAsia="Calibri" w:cs="Times New Roman"/>
          <w:szCs w:val="24"/>
        </w:rPr>
        <w:t xml:space="preserve">happen soon. </w:t>
      </w:r>
    </w:p>
    <w:p w14:paraId="0BDB749B" w14:textId="7D150F3C" w:rsidR="000F6F05" w:rsidRDefault="000F6F05" w:rsidP="005D17C8">
      <w:pPr>
        <w:tabs>
          <w:tab w:val="left" w:pos="720"/>
        </w:tabs>
        <w:autoSpaceDE w:val="0"/>
        <w:autoSpaceDN w:val="0"/>
        <w:adjustRightInd w:val="0"/>
        <w:spacing w:after="0"/>
        <w:contextualSpacing/>
        <w:jc w:val="both"/>
        <w:rPr>
          <w:rFonts w:eastAsia="Calibri" w:cs="Times New Roman"/>
          <w:szCs w:val="24"/>
        </w:rPr>
      </w:pPr>
    </w:p>
    <w:p w14:paraId="4F1FB824" w14:textId="33B8ADE3" w:rsidR="000C0B32" w:rsidRDefault="000C0B32" w:rsidP="005D17C8">
      <w:pPr>
        <w:tabs>
          <w:tab w:val="left" w:pos="720"/>
        </w:tabs>
        <w:autoSpaceDE w:val="0"/>
        <w:autoSpaceDN w:val="0"/>
        <w:adjustRightInd w:val="0"/>
        <w:spacing w:after="0"/>
        <w:contextualSpacing/>
        <w:jc w:val="both"/>
        <w:rPr>
          <w:rFonts w:eastAsia="Calibri" w:cs="Times New Roman"/>
          <w:szCs w:val="24"/>
        </w:rPr>
      </w:pPr>
      <w:r w:rsidRPr="000C0B32">
        <w:rPr>
          <w:rFonts w:eastAsia="Calibri" w:cs="Times New Roman"/>
          <w:i/>
          <w:color w:val="2E74B5" w:themeColor="accent1" w:themeShade="BF"/>
          <w:szCs w:val="24"/>
        </w:rPr>
        <w:t>The 2018 Quadrennial Review Public Notice</w:t>
      </w:r>
      <w:r>
        <w:rPr>
          <w:rFonts w:eastAsia="Calibri" w:cs="Times New Roman"/>
          <w:szCs w:val="24"/>
        </w:rPr>
        <w:t xml:space="preserve">. </w:t>
      </w:r>
      <w:r w:rsidR="004554FF">
        <w:rPr>
          <w:rFonts w:eastAsia="Calibri" w:cs="Times New Roman"/>
          <w:szCs w:val="24"/>
        </w:rPr>
        <w:t xml:space="preserve"> </w:t>
      </w:r>
      <w:r>
        <w:rPr>
          <w:rFonts w:eastAsia="Calibri" w:cs="Times New Roman"/>
          <w:szCs w:val="24"/>
        </w:rPr>
        <w:t>In the Notice, the Commission</w:t>
      </w:r>
      <w:r w:rsidR="004F082B">
        <w:rPr>
          <w:rFonts w:eastAsia="Calibri" w:cs="Times New Roman"/>
          <w:szCs w:val="24"/>
        </w:rPr>
        <w:t xml:space="preserve"> </w:t>
      </w:r>
      <w:r>
        <w:rPr>
          <w:rFonts w:eastAsia="Calibri" w:cs="Times New Roman"/>
          <w:szCs w:val="24"/>
        </w:rPr>
        <w:t>seeks</w:t>
      </w:r>
      <w:r w:rsidR="000F6F05">
        <w:rPr>
          <w:rFonts w:eastAsia="Calibri" w:cs="Times New Roman"/>
          <w:szCs w:val="24"/>
        </w:rPr>
        <w:t xml:space="preserve"> to update the record in the FCC’s </w:t>
      </w:r>
      <w:r w:rsidR="00CA5FE3">
        <w:rPr>
          <w:rFonts w:eastAsia="Calibri" w:cs="Times New Roman"/>
          <w:szCs w:val="24"/>
        </w:rPr>
        <w:t>open</w:t>
      </w:r>
      <w:r w:rsidR="000F6F05">
        <w:rPr>
          <w:rFonts w:eastAsia="Calibri" w:cs="Times New Roman"/>
          <w:szCs w:val="24"/>
        </w:rPr>
        <w:t xml:space="preserve"> 2018 Quadrennial Review proceeding</w:t>
      </w:r>
      <w:r>
        <w:rPr>
          <w:rFonts w:eastAsia="Calibri" w:cs="Times New Roman"/>
          <w:szCs w:val="24"/>
        </w:rPr>
        <w:t>.</w:t>
      </w:r>
      <w:r w:rsidR="00CE0810">
        <w:rPr>
          <w:rFonts w:eastAsia="Calibri" w:cs="Times New Roman"/>
          <w:szCs w:val="24"/>
        </w:rPr>
        <w:t xml:space="preserve"> </w:t>
      </w:r>
      <w:r>
        <w:rPr>
          <w:rFonts w:eastAsia="Calibri" w:cs="Times New Roman"/>
          <w:szCs w:val="24"/>
        </w:rPr>
        <w:t xml:space="preserve"> </w:t>
      </w:r>
      <w:r w:rsidR="000F6F05">
        <w:rPr>
          <w:rFonts w:eastAsia="Calibri" w:cs="Times New Roman"/>
          <w:szCs w:val="24"/>
        </w:rPr>
        <w:t xml:space="preserve">Because the </w:t>
      </w:r>
      <w:r w:rsidR="00CE0810">
        <w:rPr>
          <w:rFonts w:eastAsia="Calibri" w:cs="Times New Roman"/>
          <w:szCs w:val="24"/>
        </w:rPr>
        <w:t xml:space="preserve">2018 Quadrennial Review in many ways built off of the FCC decisions listed above (and </w:t>
      </w:r>
      <w:r w:rsidR="00CE0810" w:rsidRPr="00CE0810">
        <w:rPr>
          <w:rFonts w:eastAsia="Calibri" w:cs="Times New Roman"/>
          <w:iCs/>
          <w:szCs w:val="24"/>
        </w:rPr>
        <w:t xml:space="preserve">was initiated more than two years before the Supreme Court’s </w:t>
      </w:r>
      <w:r w:rsidR="00CE0810">
        <w:rPr>
          <w:rFonts w:eastAsia="Calibri" w:cs="Times New Roman"/>
          <w:iCs/>
          <w:szCs w:val="24"/>
        </w:rPr>
        <w:t xml:space="preserve">recent </w:t>
      </w:r>
      <w:r w:rsidR="00CE0810">
        <w:rPr>
          <w:rFonts w:eastAsia="Calibri" w:cs="Times New Roman"/>
          <w:i/>
          <w:iCs/>
          <w:szCs w:val="24"/>
        </w:rPr>
        <w:t xml:space="preserve">Prometheus </w:t>
      </w:r>
      <w:r w:rsidR="00CE0810" w:rsidRPr="00CE0810">
        <w:rPr>
          <w:rFonts w:eastAsia="Calibri" w:cs="Times New Roman"/>
          <w:iCs/>
          <w:szCs w:val="24"/>
        </w:rPr>
        <w:t>decision</w:t>
      </w:r>
      <w:r w:rsidR="00CE0810">
        <w:rPr>
          <w:rFonts w:eastAsia="Calibri" w:cs="Times New Roman"/>
          <w:iCs/>
          <w:szCs w:val="24"/>
        </w:rPr>
        <w:t>)</w:t>
      </w:r>
      <w:r w:rsidR="00CE0810" w:rsidRPr="00CE0810">
        <w:rPr>
          <w:rFonts w:eastAsia="Calibri" w:cs="Times New Roman"/>
          <w:iCs/>
          <w:szCs w:val="24"/>
        </w:rPr>
        <w:t xml:space="preserve">, </w:t>
      </w:r>
      <w:r w:rsidR="00CE0810">
        <w:rPr>
          <w:rFonts w:eastAsia="Calibri" w:cs="Times New Roman"/>
          <w:iCs/>
          <w:szCs w:val="24"/>
        </w:rPr>
        <w:t xml:space="preserve">the </w:t>
      </w:r>
      <w:r w:rsidR="00CE0810">
        <w:rPr>
          <w:rFonts w:eastAsia="Calibri" w:cs="Times New Roman"/>
          <w:szCs w:val="24"/>
        </w:rPr>
        <w:t xml:space="preserve">Notice </w:t>
      </w:r>
      <w:r w:rsidR="00CB6A3D">
        <w:rPr>
          <w:rFonts w:eastAsia="Calibri" w:cs="Times New Roman"/>
          <w:szCs w:val="24"/>
        </w:rPr>
        <w:t>states that this “refresh” is</w:t>
      </w:r>
      <w:r w:rsidR="004F082B">
        <w:rPr>
          <w:rFonts w:eastAsia="Calibri" w:cs="Times New Roman"/>
          <w:szCs w:val="24"/>
        </w:rPr>
        <w:t xml:space="preserve"> designed “</w:t>
      </w:r>
      <w:r w:rsidR="004F082B" w:rsidRPr="004F082B">
        <w:rPr>
          <w:rFonts w:eastAsia="Calibri" w:cs="Times New Roman"/>
          <w:szCs w:val="24"/>
        </w:rPr>
        <w:t>specifically to encourage the submission of new or additional information to update the record in the 2018 Quadrennial Review proceeding</w:t>
      </w:r>
      <w:r w:rsidR="004F082B">
        <w:rPr>
          <w:rFonts w:eastAsia="Calibri" w:cs="Times New Roman"/>
          <w:szCs w:val="24"/>
        </w:rPr>
        <w:t xml:space="preserve">.”  </w:t>
      </w:r>
      <w:r w:rsidR="00CB6A3D">
        <w:rPr>
          <w:rFonts w:eastAsia="Calibri" w:cs="Times New Roman"/>
          <w:szCs w:val="24"/>
        </w:rPr>
        <w:t xml:space="preserve">Broadcasters will recall that in the </w:t>
      </w:r>
      <w:r w:rsidR="00C0539A">
        <w:rPr>
          <w:rFonts w:eastAsia="Calibri" w:cs="Times New Roman"/>
          <w:szCs w:val="24"/>
        </w:rPr>
        <w:t>Quad</w:t>
      </w:r>
      <w:r>
        <w:rPr>
          <w:rFonts w:eastAsia="Calibri" w:cs="Times New Roman"/>
          <w:szCs w:val="24"/>
        </w:rPr>
        <w:t xml:space="preserve">rennial Review the FCC is looking at whether the Local Radio Ownership Rule, </w:t>
      </w:r>
      <w:r w:rsidR="00C0539A" w:rsidRPr="00C0539A">
        <w:rPr>
          <w:rFonts w:eastAsia="Calibri" w:cs="Times New Roman"/>
          <w:szCs w:val="24"/>
        </w:rPr>
        <w:t xml:space="preserve">the Local Television Ownership </w:t>
      </w:r>
      <w:r>
        <w:rPr>
          <w:rFonts w:eastAsia="Calibri" w:cs="Times New Roman"/>
          <w:szCs w:val="24"/>
        </w:rPr>
        <w:t>Rule, and the Dual Network Rule remain “necessary in the public interest as a result of compet</w:t>
      </w:r>
      <w:r w:rsidR="00CB6A3D">
        <w:rPr>
          <w:rFonts w:eastAsia="Calibri" w:cs="Times New Roman"/>
          <w:szCs w:val="24"/>
        </w:rPr>
        <w:t>ition”; the Commission is supposed to evaluate</w:t>
      </w:r>
      <w:r>
        <w:rPr>
          <w:rFonts w:eastAsia="Calibri" w:cs="Times New Roman"/>
          <w:szCs w:val="24"/>
        </w:rPr>
        <w:t xml:space="preserve"> these Rules to ensure that they continue to serve core policy goals of competition, localism</w:t>
      </w:r>
      <w:r w:rsidR="00CB2C15">
        <w:rPr>
          <w:rFonts w:eastAsia="Calibri" w:cs="Times New Roman"/>
          <w:szCs w:val="24"/>
        </w:rPr>
        <w:t>,</w:t>
      </w:r>
      <w:r>
        <w:rPr>
          <w:rFonts w:eastAsia="Calibri" w:cs="Times New Roman"/>
          <w:szCs w:val="24"/>
        </w:rPr>
        <w:t xml:space="preserve"> and diversity. </w:t>
      </w:r>
    </w:p>
    <w:p w14:paraId="5D879EB4" w14:textId="77777777" w:rsidR="000C0B32" w:rsidRDefault="000C0B32" w:rsidP="005D17C8">
      <w:pPr>
        <w:tabs>
          <w:tab w:val="left" w:pos="720"/>
        </w:tabs>
        <w:autoSpaceDE w:val="0"/>
        <w:autoSpaceDN w:val="0"/>
        <w:adjustRightInd w:val="0"/>
        <w:spacing w:after="0"/>
        <w:contextualSpacing/>
        <w:jc w:val="both"/>
        <w:rPr>
          <w:rFonts w:eastAsia="Calibri" w:cs="Times New Roman"/>
          <w:szCs w:val="24"/>
        </w:rPr>
      </w:pPr>
    </w:p>
    <w:p w14:paraId="48A619A5" w14:textId="23533EB1" w:rsidR="000C0B32" w:rsidRDefault="000C0B32"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t xml:space="preserve">The comment period on the 2018 Quadrennial Review closed in May 2019.  However, with the Notice the Commission is opening a new comment window in the proceeding.  The Notice seeks comment and/or information regarding a number of topics, including, among other things: </w:t>
      </w:r>
    </w:p>
    <w:p w14:paraId="5AB3D5D8" w14:textId="77777777" w:rsidR="000C0B32" w:rsidRPr="005D17C8" w:rsidRDefault="000C0B32" w:rsidP="005D17C8">
      <w:pPr>
        <w:tabs>
          <w:tab w:val="left" w:pos="720"/>
        </w:tabs>
        <w:autoSpaceDE w:val="0"/>
        <w:autoSpaceDN w:val="0"/>
        <w:adjustRightInd w:val="0"/>
        <w:spacing w:after="0"/>
        <w:contextualSpacing/>
        <w:jc w:val="both"/>
        <w:rPr>
          <w:rFonts w:eastAsia="Calibri" w:cs="Times New Roman"/>
          <w:sz w:val="28"/>
          <w:szCs w:val="24"/>
        </w:rPr>
      </w:pPr>
    </w:p>
    <w:p w14:paraId="7E4601D0" w14:textId="32E19194" w:rsidR="000C0B32" w:rsidRPr="005D17C8" w:rsidRDefault="000C0B32" w:rsidP="005D17C8">
      <w:pPr>
        <w:pStyle w:val="ListParagraph"/>
        <w:numPr>
          <w:ilvl w:val="0"/>
          <w:numId w:val="25"/>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D17C8">
        <w:rPr>
          <w:rFonts w:ascii="Times New Roman" w:hAnsi="Times New Roman" w:cs="Times New Roman"/>
          <w:sz w:val="24"/>
        </w:rPr>
        <w:t>New or additional information regarding the media marketplace that commenter</w:t>
      </w:r>
      <w:r w:rsidR="00CB2C15">
        <w:rPr>
          <w:rFonts w:ascii="Times New Roman" w:hAnsi="Times New Roman" w:cs="Times New Roman"/>
          <w:sz w:val="24"/>
        </w:rPr>
        <w:t xml:space="preserve">s believe is relevant to the 2018 Quadrennial Review </w:t>
      </w:r>
      <w:r w:rsidR="00CB6A3D">
        <w:rPr>
          <w:rFonts w:ascii="Times New Roman" w:hAnsi="Times New Roman" w:cs="Times New Roman"/>
          <w:sz w:val="24"/>
        </w:rPr>
        <w:t>proceeding;</w:t>
      </w:r>
      <w:r w:rsidRPr="005D17C8">
        <w:rPr>
          <w:rFonts w:ascii="Times New Roman" w:hAnsi="Times New Roman" w:cs="Times New Roman"/>
          <w:sz w:val="24"/>
        </w:rPr>
        <w:t xml:space="preserve"> specifically, information regarding the broadcast industry’s evolution since early 2019 and its current trajectory, including the effects, if any, of technological change, new entry, consolidation, or changing market conditions.</w:t>
      </w:r>
    </w:p>
    <w:p w14:paraId="0275B2A2" w14:textId="77777777" w:rsidR="005D17C8" w:rsidRPr="005D17C8" w:rsidRDefault="005D17C8" w:rsidP="005D17C8">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24A52C9E" w14:textId="68DA042E" w:rsidR="000C0B32" w:rsidRPr="005D17C8" w:rsidRDefault="005D17C8" w:rsidP="005D17C8">
      <w:pPr>
        <w:pStyle w:val="ListParagraph"/>
        <w:numPr>
          <w:ilvl w:val="0"/>
          <w:numId w:val="25"/>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D17C8">
        <w:rPr>
          <w:rFonts w:ascii="Times New Roman" w:hAnsi="Times New Roman" w:cs="Times New Roman"/>
          <w:sz w:val="24"/>
        </w:rPr>
        <w:t>W</w:t>
      </w:r>
      <w:r w:rsidR="000C0B32" w:rsidRPr="005D17C8">
        <w:rPr>
          <w:rFonts w:ascii="Times New Roman" w:hAnsi="Times New Roman" w:cs="Times New Roman"/>
          <w:sz w:val="24"/>
        </w:rPr>
        <w:t>hether and, if so</w:t>
      </w:r>
      <w:r w:rsidRPr="005D17C8">
        <w:rPr>
          <w:rFonts w:ascii="Times New Roman" w:hAnsi="Times New Roman" w:cs="Times New Roman"/>
          <w:sz w:val="24"/>
        </w:rPr>
        <w:t>,</w:t>
      </w:r>
      <w:r w:rsidR="000C0B32" w:rsidRPr="005D17C8">
        <w:rPr>
          <w:rFonts w:ascii="Times New Roman" w:hAnsi="Times New Roman" w:cs="Times New Roman"/>
          <w:sz w:val="24"/>
        </w:rPr>
        <w:t xml:space="preserve"> how, the Commission should account for multicast streams, satellite stations, or low power television stations for purposes of the Local Television Ownership Rule—and how, if at all, the increased use of these p</w:t>
      </w:r>
      <w:r w:rsidR="00CB6A3D">
        <w:rPr>
          <w:rFonts w:ascii="Times New Roman" w:hAnsi="Times New Roman" w:cs="Times New Roman"/>
          <w:sz w:val="24"/>
        </w:rPr>
        <w:t>latforms, and other innovations,</w:t>
      </w:r>
      <w:r w:rsidR="000C0B32" w:rsidRPr="005D17C8">
        <w:rPr>
          <w:rFonts w:ascii="Times New Roman" w:hAnsi="Times New Roman" w:cs="Times New Roman"/>
          <w:sz w:val="24"/>
        </w:rPr>
        <w:t xml:space="preserve"> such as the continued deployment and use of the ATSC 3.0 transmission standard by the broadcast television industry, should inform the Commission’s review.</w:t>
      </w:r>
    </w:p>
    <w:p w14:paraId="3D0C2CD2" w14:textId="77777777" w:rsidR="005D17C8" w:rsidRPr="005D17C8" w:rsidRDefault="005D17C8" w:rsidP="005D17C8">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57FC33AA" w14:textId="0F6F5492" w:rsidR="005D17C8" w:rsidRPr="005D17C8" w:rsidRDefault="005D17C8" w:rsidP="005D17C8">
      <w:pPr>
        <w:pStyle w:val="ListParagraph"/>
        <w:numPr>
          <w:ilvl w:val="0"/>
          <w:numId w:val="25"/>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D17C8">
        <w:rPr>
          <w:rFonts w:ascii="Times New Roman" w:hAnsi="Times New Roman" w:cs="Times New Roman"/>
          <w:sz w:val="24"/>
        </w:rPr>
        <w:t>Additional trends that have been, or are being, observed within the broadcast industry or in related markets since the original comment period closed, including the growth of online audio and video sources, including as sources for news and information, as well as the continued strength and importance of broadcast radio and television stations in the local communities they serve.</w:t>
      </w:r>
    </w:p>
    <w:p w14:paraId="39B22AC1" w14:textId="77777777" w:rsidR="005D17C8" w:rsidRPr="005D17C8" w:rsidRDefault="005D17C8" w:rsidP="005D17C8">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07504BAF" w14:textId="561599B7" w:rsidR="005D17C8" w:rsidRPr="005D17C8" w:rsidRDefault="005D17C8" w:rsidP="005D17C8">
      <w:pPr>
        <w:pStyle w:val="ListParagraph"/>
        <w:numPr>
          <w:ilvl w:val="0"/>
          <w:numId w:val="25"/>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D17C8">
        <w:rPr>
          <w:rFonts w:ascii="Times New Roman" w:hAnsi="Times New Roman" w:cs="Times New Roman"/>
          <w:sz w:val="24"/>
        </w:rPr>
        <w:t>Other recent trends regarding broadcast industry ratings or revenues, including advertising, retransmission consent, and online revenues, that are relevant to t</w:t>
      </w:r>
      <w:r w:rsidR="00CB2C15">
        <w:rPr>
          <w:rFonts w:ascii="Times New Roman" w:hAnsi="Times New Roman" w:cs="Times New Roman"/>
          <w:sz w:val="24"/>
        </w:rPr>
        <w:t>he 2018 Quadrennial Review</w:t>
      </w:r>
      <w:r w:rsidRPr="005D17C8">
        <w:rPr>
          <w:rFonts w:ascii="Times New Roman" w:hAnsi="Times New Roman" w:cs="Times New Roman"/>
          <w:sz w:val="24"/>
        </w:rPr>
        <w:t xml:space="preserve"> proceeding—and the ways in which such trends impact the evolution and the viability of the broadcast industry.</w:t>
      </w:r>
    </w:p>
    <w:p w14:paraId="5C91BF3C" w14:textId="77777777" w:rsidR="005D17C8" w:rsidRPr="005D17C8" w:rsidRDefault="005D17C8" w:rsidP="005D17C8">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188563C5" w14:textId="3B68210A" w:rsidR="005D17C8" w:rsidRPr="005D17C8" w:rsidRDefault="005D17C8" w:rsidP="005D17C8">
      <w:pPr>
        <w:pStyle w:val="ListParagraph"/>
        <w:numPr>
          <w:ilvl w:val="0"/>
          <w:numId w:val="25"/>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D17C8">
        <w:rPr>
          <w:rFonts w:ascii="Times New Roman" w:hAnsi="Times New Roman" w:cs="Times New Roman"/>
          <w:sz w:val="24"/>
        </w:rPr>
        <w:lastRenderedPageBreak/>
        <w:t>In considering market trends since the comment period ended in May 2019, the impact that the C</w:t>
      </w:r>
      <w:r w:rsidR="00394AF7">
        <w:rPr>
          <w:rFonts w:ascii="Times New Roman" w:hAnsi="Times New Roman" w:cs="Times New Roman"/>
          <w:sz w:val="24"/>
        </w:rPr>
        <w:t>OVID-19 pandemic has had on the</w:t>
      </w:r>
      <w:r w:rsidR="00C0499A">
        <w:rPr>
          <w:rFonts w:ascii="Times New Roman" w:hAnsi="Times New Roman" w:cs="Times New Roman"/>
          <w:sz w:val="24"/>
        </w:rPr>
        <w:t xml:space="preserve"> issues under review in the</w:t>
      </w:r>
      <w:r w:rsidRPr="005D17C8">
        <w:rPr>
          <w:rFonts w:ascii="Times New Roman" w:hAnsi="Times New Roman" w:cs="Times New Roman"/>
          <w:sz w:val="24"/>
        </w:rPr>
        <w:t xml:space="preserve"> proceeding.</w:t>
      </w:r>
    </w:p>
    <w:p w14:paraId="578C5DCA" w14:textId="5DD58D0E" w:rsidR="005D17C8" w:rsidRPr="005D17C8" w:rsidRDefault="005D17C8" w:rsidP="005D17C8">
      <w:pPr>
        <w:tabs>
          <w:tab w:val="left" w:pos="720"/>
        </w:tabs>
        <w:autoSpaceDE w:val="0"/>
        <w:autoSpaceDN w:val="0"/>
        <w:adjustRightInd w:val="0"/>
        <w:spacing w:after="0"/>
        <w:jc w:val="both"/>
        <w:rPr>
          <w:rFonts w:eastAsia="Calibri" w:cs="Times New Roman"/>
          <w:szCs w:val="24"/>
        </w:rPr>
      </w:pPr>
    </w:p>
    <w:p w14:paraId="59DF0BB4" w14:textId="789B91B2" w:rsidR="004F082B" w:rsidRDefault="005D17C8" w:rsidP="005D17C8">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4F082B">
        <w:rPr>
          <w:rFonts w:eastAsia="Calibri" w:cs="Times New Roman"/>
          <w:szCs w:val="24"/>
        </w:rPr>
        <w:t xml:space="preserve">Comments will be due 30 days after the Notice is published in the </w:t>
      </w:r>
      <w:r w:rsidR="004F082B">
        <w:rPr>
          <w:rFonts w:eastAsia="Calibri" w:cs="Times New Roman"/>
          <w:i/>
          <w:szCs w:val="24"/>
        </w:rPr>
        <w:t>Federal Register</w:t>
      </w:r>
      <w:r w:rsidR="004F082B">
        <w:rPr>
          <w:rFonts w:eastAsia="Calibri" w:cs="Times New Roman"/>
          <w:szCs w:val="24"/>
        </w:rPr>
        <w:t>, with reply comments due 60 days after such publication.</w:t>
      </w:r>
    </w:p>
    <w:p w14:paraId="761F46EF" w14:textId="646978CC" w:rsidR="003D72D0" w:rsidRPr="002572DF" w:rsidRDefault="00AC1452" w:rsidP="002572DF">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EC596A2" w14:textId="77777777" w:rsidR="003D72D0" w:rsidRDefault="003D72D0" w:rsidP="007D1905">
      <w:pPr>
        <w:tabs>
          <w:tab w:val="left" w:pos="720"/>
        </w:tabs>
        <w:spacing w:after="0"/>
        <w:ind w:firstLine="720"/>
        <w:jc w:val="right"/>
        <w:rPr>
          <w:rFonts w:eastAsia="Times New Roman" w:cs="Times New Roman"/>
          <w:i/>
          <w:color w:val="000000"/>
          <w:szCs w:val="24"/>
        </w:rPr>
      </w:pPr>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0"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1" w:history="1">
        <w:r w:rsidRPr="002B6E2A">
          <w:rPr>
            <w:rFonts w:eastAsia="Calibri" w:cs="Times New Roman"/>
            <w:szCs w:val="24"/>
          </w:rPr>
          <w:t>Marcus W. Trathen</w:t>
        </w:r>
      </w:hyperlink>
      <w:r>
        <w:rPr>
          <w:rFonts w:eastAsia="Calibri" w:cs="Times New Roman"/>
          <w:szCs w:val="24"/>
        </w:rPr>
        <w:br/>
      </w:r>
      <w:hyperlink r:id="rId12" w:history="1">
        <w:r w:rsidRPr="002B6E2A">
          <w:rPr>
            <w:rFonts w:eastAsia="Calibri" w:cs="Times New Roman"/>
            <w:szCs w:val="24"/>
          </w:rPr>
          <w:t>David Kushner</w:t>
        </w:r>
      </w:hyperlink>
      <w:r>
        <w:rPr>
          <w:rFonts w:eastAsia="Calibri" w:cs="Times New Roman"/>
          <w:szCs w:val="24"/>
        </w:rPr>
        <w:br/>
      </w:r>
      <w:hyperlink r:id="rId13" w:history="1">
        <w:r w:rsidRPr="002B6E2A">
          <w:rPr>
            <w:rFonts w:eastAsia="Calibri" w:cs="Times New Roman"/>
            <w:szCs w:val="24"/>
          </w:rPr>
          <w:t>Coe W. Ramsey</w:t>
        </w:r>
      </w:hyperlink>
      <w:r>
        <w:rPr>
          <w:rFonts w:eastAsia="Calibri" w:cs="Times New Roman"/>
          <w:szCs w:val="24"/>
        </w:rPr>
        <w:br/>
      </w:r>
      <w:hyperlink r:id="rId14" w:history="1">
        <w:r w:rsidRPr="002B6E2A">
          <w:rPr>
            <w:rFonts w:eastAsia="Calibri" w:cs="Times New Roman"/>
            <w:szCs w:val="24"/>
          </w:rPr>
          <w:t>Stephen Hartzell</w:t>
        </w:r>
      </w:hyperlink>
    </w:p>
    <w:p w14:paraId="6D7F0DCA" w14:textId="77777777" w:rsidR="007E3A00" w:rsidRPr="002B6E2A" w:rsidRDefault="00036F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Julia C. Ambrose</w:t>
        </w:r>
      </w:hyperlink>
    </w:p>
    <w:p w14:paraId="3E40FD89" w14:textId="77777777" w:rsidR="007E3A00" w:rsidRPr="002B6E2A" w:rsidRDefault="00036F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Elizabeth E. Spainhour</w:t>
        </w:r>
      </w:hyperlink>
    </w:p>
    <w:p w14:paraId="5E4B540C" w14:textId="77777777" w:rsidR="007E3A00" w:rsidRPr="002B6E2A" w:rsidRDefault="00036F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J. Benjamin Davis</w:t>
        </w:r>
      </w:hyperlink>
    </w:p>
    <w:p w14:paraId="0AE4440D" w14:textId="77777777" w:rsidR="007E3A00" w:rsidRDefault="00036F8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Timothy G. Nelson</w:t>
        </w:r>
      </w:hyperlink>
    </w:p>
    <w:p w14:paraId="72136B94" w14:textId="77777777" w:rsidR="007E3A00" w:rsidRPr="00FF2698" w:rsidRDefault="00036F8D" w:rsidP="007E3A00">
      <w:pPr>
        <w:widowControl w:val="0"/>
        <w:tabs>
          <w:tab w:val="left" w:pos="738"/>
        </w:tabs>
        <w:spacing w:after="0"/>
        <w:contextualSpacing/>
        <w:rPr>
          <w:rFonts w:eastAsia="Calibri" w:cs="Times New Roman"/>
          <w:szCs w:val="24"/>
        </w:rPr>
      </w:pPr>
      <w:hyperlink r:id="rId19"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7D1905">
      <w:headerReference w:type="default" r:id="rId20"/>
      <w:footerReference w:type="default" r:id="rId21"/>
      <w:headerReference w:type="first" r:id="rId22"/>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4DA6D" w14:textId="77777777" w:rsidR="00036F8D" w:rsidRDefault="00036F8D" w:rsidP="002B6E2A">
      <w:pPr>
        <w:spacing w:after="0"/>
      </w:pPr>
      <w:r>
        <w:separator/>
      </w:r>
    </w:p>
  </w:endnote>
  <w:endnote w:type="continuationSeparator" w:id="0">
    <w:p w14:paraId="77A3A681" w14:textId="77777777" w:rsidR="00036F8D" w:rsidRDefault="00036F8D"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023B707"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AA62BF">
      <w:rPr>
        <w:noProof/>
        <w:color w:val="2F5496" w:themeColor="accent5" w:themeShade="BF"/>
      </w:rPr>
      <w:t>3</w:t>
    </w:r>
    <w:r w:rsidRPr="002B6E2A">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5464" w14:textId="77777777" w:rsidR="00036F8D" w:rsidRDefault="00036F8D" w:rsidP="002B6E2A">
      <w:pPr>
        <w:spacing w:after="0"/>
      </w:pPr>
      <w:r>
        <w:separator/>
      </w:r>
    </w:p>
  </w:footnote>
  <w:footnote w:type="continuationSeparator" w:id="0">
    <w:p w14:paraId="12FD1B94" w14:textId="77777777" w:rsidR="00036F8D" w:rsidRDefault="00036F8D"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F42FA84" w:rsidR="00771F5E" w:rsidRPr="00991C10" w:rsidRDefault="00771F5E"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59264" behindDoc="1" locked="0" layoutInCell="1" allowOverlap="1" wp14:anchorId="5791713E" wp14:editId="732FD267">
          <wp:simplePos x="0" y="0"/>
          <wp:positionH relativeFrom="margin">
            <wp:posOffset>107950</wp:posOffset>
          </wp:positionH>
          <wp:positionV relativeFrom="topMargin">
            <wp:posOffset>158750</wp:posOffset>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A62BF" w:rsidRPr="00D6082B" w14:paraId="3CA8B818" w14:textId="77777777" w:rsidTr="00510951">
      <w:tc>
        <w:tcPr>
          <w:tcW w:w="1440" w:type="dxa"/>
          <w:shd w:val="clear" w:color="auto" w:fill="auto"/>
        </w:tcPr>
        <w:p w14:paraId="65C5582A" w14:textId="77777777" w:rsidR="00AA62BF" w:rsidRPr="00D6082B" w:rsidRDefault="00AA62BF" w:rsidP="00AA62BF">
          <w:pPr>
            <w:tabs>
              <w:tab w:val="left" w:pos="720"/>
            </w:tabs>
            <w:spacing w:after="0"/>
            <w:jc w:val="center"/>
            <w:rPr>
              <w:rFonts w:eastAsia="Calibri" w:cs="Times New Roman"/>
              <w:szCs w:val="24"/>
            </w:rPr>
          </w:pPr>
        </w:p>
      </w:tc>
      <w:tc>
        <w:tcPr>
          <w:tcW w:w="7380" w:type="dxa"/>
          <w:gridSpan w:val="3"/>
          <w:shd w:val="clear" w:color="auto" w:fill="auto"/>
        </w:tcPr>
        <w:p w14:paraId="5ED42184" w14:textId="77777777" w:rsidR="00AA62BF" w:rsidRDefault="00AA62BF" w:rsidP="00AA62BF">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6D5E5BB0" wp14:editId="57F06ADE">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B16B221" w14:textId="77777777" w:rsidR="00AA62BF" w:rsidRDefault="00AA62BF" w:rsidP="00AA62BF">
          <w:pPr>
            <w:tabs>
              <w:tab w:val="left" w:pos="720"/>
            </w:tabs>
            <w:spacing w:after="0"/>
            <w:jc w:val="center"/>
            <w:rPr>
              <w:rFonts w:eastAsia="Calibri" w:cs="Times New Roman"/>
              <w:szCs w:val="24"/>
            </w:rPr>
          </w:pPr>
        </w:p>
        <w:p w14:paraId="00BC420E" w14:textId="77777777" w:rsidR="00AA62BF" w:rsidRPr="00C8729A" w:rsidRDefault="00AA62BF" w:rsidP="00AA62BF">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3D40B146" wp14:editId="75DD901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513ED10D" w14:textId="77777777" w:rsidR="00AA62BF" w:rsidRPr="00D6082B" w:rsidRDefault="00AA62BF" w:rsidP="00AA62BF">
          <w:pPr>
            <w:tabs>
              <w:tab w:val="left" w:pos="720"/>
            </w:tabs>
            <w:spacing w:after="0"/>
            <w:jc w:val="center"/>
            <w:rPr>
              <w:rFonts w:eastAsia="Calibri" w:cs="Times New Roman"/>
              <w:szCs w:val="24"/>
            </w:rPr>
          </w:pPr>
        </w:p>
      </w:tc>
      <w:tc>
        <w:tcPr>
          <w:tcW w:w="1620" w:type="dxa"/>
          <w:shd w:val="clear" w:color="auto" w:fill="auto"/>
        </w:tcPr>
        <w:p w14:paraId="71E6C1E1" w14:textId="77777777" w:rsidR="00AA62BF" w:rsidRPr="00D6082B" w:rsidRDefault="00AA62BF" w:rsidP="00AA62BF">
          <w:pPr>
            <w:tabs>
              <w:tab w:val="left" w:pos="720"/>
            </w:tabs>
            <w:spacing w:after="0"/>
            <w:jc w:val="center"/>
            <w:rPr>
              <w:rFonts w:eastAsia="Calibri" w:cs="Times New Roman"/>
              <w:szCs w:val="24"/>
            </w:rPr>
          </w:pPr>
        </w:p>
      </w:tc>
    </w:tr>
    <w:tr w:rsidR="00AA62BF" w:rsidRPr="00D6082B" w14:paraId="12967518" w14:textId="77777777" w:rsidTr="00510951">
      <w:tc>
        <w:tcPr>
          <w:tcW w:w="4500" w:type="dxa"/>
          <w:gridSpan w:val="2"/>
          <w:shd w:val="clear" w:color="auto" w:fill="auto"/>
          <w:tcMar>
            <w:left w:w="0" w:type="dxa"/>
            <w:right w:w="0" w:type="dxa"/>
          </w:tcMar>
        </w:tcPr>
        <w:p w14:paraId="2FAB452A" w14:textId="77777777" w:rsidR="00AA62BF" w:rsidRPr="00D6082B" w:rsidRDefault="00AA62BF" w:rsidP="00AA62BF">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8892AEE" w14:textId="77777777" w:rsidR="00AA62BF" w:rsidRPr="00D6082B" w:rsidRDefault="00AA62BF" w:rsidP="00AA62BF">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2140E207" w14:textId="77777777" w:rsidR="00AA62BF" w:rsidRPr="00D6082B" w:rsidRDefault="00AA62BF" w:rsidP="00AA62BF">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12BD9CB" w14:textId="77777777" w:rsidR="00AA62BF" w:rsidRPr="00D6082B" w:rsidRDefault="00AA62BF" w:rsidP="00AA62BF">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A4F23E1" w14:textId="77777777" w:rsidR="00AA62BF" w:rsidRDefault="00AA62BF" w:rsidP="00AA62BF">
          <w:pPr>
            <w:tabs>
              <w:tab w:val="left" w:pos="720"/>
            </w:tabs>
            <w:spacing w:after="0"/>
            <w:jc w:val="center"/>
            <w:rPr>
              <w:rFonts w:eastAsia="Calibri" w:cs="Times New Roman"/>
              <w:szCs w:val="24"/>
            </w:rPr>
          </w:pPr>
          <w:r>
            <w:rPr>
              <w:rFonts w:eastAsia="Calibri" w:cs="Times New Roman"/>
              <w:szCs w:val="24"/>
            </w:rPr>
            <w:t>Charlottesville, VA 22902</w:t>
          </w:r>
        </w:p>
        <w:p w14:paraId="69202E20" w14:textId="77777777" w:rsidR="00AA62BF" w:rsidRPr="00D6082B" w:rsidRDefault="00AA62BF" w:rsidP="00AA62BF">
          <w:pPr>
            <w:tabs>
              <w:tab w:val="left" w:pos="720"/>
            </w:tabs>
            <w:spacing w:after="0"/>
            <w:jc w:val="center"/>
            <w:rPr>
              <w:rFonts w:eastAsia="Calibri" w:cs="Times New Roman"/>
              <w:szCs w:val="24"/>
            </w:rPr>
          </w:pPr>
          <w:r w:rsidRPr="00D6082B">
            <w:rPr>
              <w:rFonts w:eastAsia="Calibri" w:cs="Times New Roman"/>
              <w:szCs w:val="24"/>
            </w:rPr>
            <w:t>(434) 977-3716 </w:t>
          </w:r>
        </w:p>
      </w:tc>
    </w:tr>
    <w:tr w:rsidR="00AA62BF" w:rsidRPr="00D6082B" w14:paraId="5243AEEA" w14:textId="77777777" w:rsidTr="00510951">
      <w:trPr>
        <w:trHeight w:val="259"/>
      </w:trPr>
      <w:tc>
        <w:tcPr>
          <w:tcW w:w="10440" w:type="dxa"/>
          <w:gridSpan w:val="5"/>
          <w:shd w:val="clear" w:color="auto" w:fill="auto"/>
        </w:tcPr>
        <w:p w14:paraId="3116C9AD" w14:textId="77777777" w:rsidR="00AA62BF" w:rsidRPr="00D6082B" w:rsidRDefault="00AA62BF" w:rsidP="00AA62BF">
          <w:pPr>
            <w:tabs>
              <w:tab w:val="left" w:pos="720"/>
            </w:tabs>
            <w:spacing w:after="0"/>
            <w:jc w:val="center"/>
            <w:rPr>
              <w:rFonts w:eastAsia="Calibri" w:cs="Times New Roman"/>
              <w:b/>
              <w:szCs w:val="24"/>
            </w:rPr>
          </w:pPr>
        </w:p>
      </w:tc>
    </w:tr>
    <w:tr w:rsidR="00AA62BF" w:rsidRPr="00D6082B" w14:paraId="7921940B" w14:textId="77777777" w:rsidTr="00510951">
      <w:trPr>
        <w:trHeight w:val="103"/>
      </w:trPr>
      <w:tc>
        <w:tcPr>
          <w:tcW w:w="10440" w:type="dxa"/>
          <w:gridSpan w:val="5"/>
          <w:shd w:val="clear" w:color="auto" w:fill="auto"/>
          <w:tcMar>
            <w:left w:w="115" w:type="dxa"/>
            <w:right w:w="115" w:type="dxa"/>
          </w:tcMar>
          <w:vAlign w:val="center"/>
        </w:tcPr>
        <w:p w14:paraId="099A2246" w14:textId="77777777" w:rsidR="00AA62BF" w:rsidRPr="00D6082B" w:rsidRDefault="00AA62BF" w:rsidP="00AA62BF">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4FEE7F87" wp14:editId="0B9F338A">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D174"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7588F245" wp14:editId="21C349AA">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E6A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48DDDB7" w14:textId="7DF372DE" w:rsidR="00AA62BF" w:rsidRDefault="00AA6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67071"/>
    <w:multiLevelType w:val="hybridMultilevel"/>
    <w:tmpl w:val="B8CE2ED2"/>
    <w:lvl w:ilvl="0" w:tplc="CC846DB2">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15"/>
  </w:num>
  <w:num w:numId="4">
    <w:abstractNumId w:val="22"/>
  </w:num>
  <w:num w:numId="5">
    <w:abstractNumId w:val="12"/>
  </w:num>
  <w:num w:numId="6">
    <w:abstractNumId w:val="5"/>
  </w:num>
  <w:num w:numId="7">
    <w:abstractNumId w:val="14"/>
  </w:num>
  <w:num w:numId="8">
    <w:abstractNumId w:val="9"/>
  </w:num>
  <w:num w:numId="9">
    <w:abstractNumId w:val="7"/>
  </w:num>
  <w:num w:numId="10">
    <w:abstractNumId w:val="20"/>
  </w:num>
  <w:num w:numId="11">
    <w:abstractNumId w:val="18"/>
  </w:num>
  <w:num w:numId="12">
    <w:abstractNumId w:val="21"/>
  </w:num>
  <w:num w:numId="13">
    <w:abstractNumId w:val="0"/>
  </w:num>
  <w:num w:numId="14">
    <w:abstractNumId w:val="8"/>
  </w:num>
  <w:num w:numId="15">
    <w:abstractNumId w:val="11"/>
  </w:num>
  <w:num w:numId="16">
    <w:abstractNumId w:val="2"/>
  </w:num>
  <w:num w:numId="17">
    <w:abstractNumId w:val="4"/>
  </w:num>
  <w:num w:numId="18">
    <w:abstractNumId w:val="1"/>
  </w:num>
  <w:num w:numId="19">
    <w:abstractNumId w:val="24"/>
  </w:num>
  <w:num w:numId="20">
    <w:abstractNumId w:val="3"/>
  </w:num>
  <w:num w:numId="21">
    <w:abstractNumId w:val="23"/>
  </w:num>
  <w:num w:numId="22">
    <w:abstractNumId w:val="13"/>
  </w:num>
  <w:num w:numId="23">
    <w:abstractNumId w:val="10"/>
  </w:num>
  <w:num w:numId="24">
    <w:abstractNumId w:val="16"/>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65E"/>
    <w:rsid w:val="0000084F"/>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600"/>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0DAE"/>
    <w:rsid w:val="000311BF"/>
    <w:rsid w:val="00031666"/>
    <w:rsid w:val="00031B90"/>
    <w:rsid w:val="00032635"/>
    <w:rsid w:val="00032A3E"/>
    <w:rsid w:val="00032B56"/>
    <w:rsid w:val="0003326F"/>
    <w:rsid w:val="00033309"/>
    <w:rsid w:val="0003360A"/>
    <w:rsid w:val="00033856"/>
    <w:rsid w:val="00033C50"/>
    <w:rsid w:val="0003457B"/>
    <w:rsid w:val="000354BB"/>
    <w:rsid w:val="00035FC1"/>
    <w:rsid w:val="0003607F"/>
    <w:rsid w:val="000360A5"/>
    <w:rsid w:val="000360D1"/>
    <w:rsid w:val="000361B8"/>
    <w:rsid w:val="0003695D"/>
    <w:rsid w:val="000369A6"/>
    <w:rsid w:val="00036F8D"/>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079"/>
    <w:rsid w:val="000742C5"/>
    <w:rsid w:val="00074E4F"/>
    <w:rsid w:val="0007563A"/>
    <w:rsid w:val="000758F0"/>
    <w:rsid w:val="00075AB0"/>
    <w:rsid w:val="00075CE7"/>
    <w:rsid w:val="00075DFA"/>
    <w:rsid w:val="00075E61"/>
    <w:rsid w:val="000766DE"/>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EC"/>
    <w:rsid w:val="000A25EE"/>
    <w:rsid w:val="000A2833"/>
    <w:rsid w:val="000A2911"/>
    <w:rsid w:val="000A30A3"/>
    <w:rsid w:val="000A3B3B"/>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A36"/>
    <w:rsid w:val="000B3DA9"/>
    <w:rsid w:val="000B4337"/>
    <w:rsid w:val="000B4535"/>
    <w:rsid w:val="000B484F"/>
    <w:rsid w:val="000B4D9C"/>
    <w:rsid w:val="000B4E8F"/>
    <w:rsid w:val="000B4F23"/>
    <w:rsid w:val="000B52E5"/>
    <w:rsid w:val="000B5B7F"/>
    <w:rsid w:val="000B5C1D"/>
    <w:rsid w:val="000B6597"/>
    <w:rsid w:val="000B6AAD"/>
    <w:rsid w:val="000B6D3E"/>
    <w:rsid w:val="000B7755"/>
    <w:rsid w:val="000B7E45"/>
    <w:rsid w:val="000C092F"/>
    <w:rsid w:val="000C0B32"/>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6F05"/>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17EDD"/>
    <w:rsid w:val="0012023B"/>
    <w:rsid w:val="0012043B"/>
    <w:rsid w:val="00120C85"/>
    <w:rsid w:val="00120DB3"/>
    <w:rsid w:val="00121058"/>
    <w:rsid w:val="00121741"/>
    <w:rsid w:val="00121912"/>
    <w:rsid w:val="00121E05"/>
    <w:rsid w:val="001222D1"/>
    <w:rsid w:val="0012269B"/>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7B2"/>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5EE"/>
    <w:rsid w:val="00153DB0"/>
    <w:rsid w:val="0015404D"/>
    <w:rsid w:val="001542F9"/>
    <w:rsid w:val="0015452B"/>
    <w:rsid w:val="00155665"/>
    <w:rsid w:val="00155669"/>
    <w:rsid w:val="00155E2F"/>
    <w:rsid w:val="00156419"/>
    <w:rsid w:val="00157D56"/>
    <w:rsid w:val="00161A8F"/>
    <w:rsid w:val="00161D54"/>
    <w:rsid w:val="001626C3"/>
    <w:rsid w:val="00162E4B"/>
    <w:rsid w:val="00163A99"/>
    <w:rsid w:val="00164693"/>
    <w:rsid w:val="0016645F"/>
    <w:rsid w:val="001666BF"/>
    <w:rsid w:val="00166AFE"/>
    <w:rsid w:val="00166DCA"/>
    <w:rsid w:val="0016742D"/>
    <w:rsid w:val="00170583"/>
    <w:rsid w:val="0017091C"/>
    <w:rsid w:val="001711B3"/>
    <w:rsid w:val="0017218E"/>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18"/>
    <w:rsid w:val="00192E56"/>
    <w:rsid w:val="0019388D"/>
    <w:rsid w:val="00193912"/>
    <w:rsid w:val="0019426B"/>
    <w:rsid w:val="00194417"/>
    <w:rsid w:val="0019458F"/>
    <w:rsid w:val="00194D59"/>
    <w:rsid w:val="00195520"/>
    <w:rsid w:val="001956FA"/>
    <w:rsid w:val="00196518"/>
    <w:rsid w:val="001968A5"/>
    <w:rsid w:val="0019710E"/>
    <w:rsid w:val="0019728E"/>
    <w:rsid w:val="00197CD8"/>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3E16"/>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3B63"/>
    <w:rsid w:val="0022420A"/>
    <w:rsid w:val="0022451B"/>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105"/>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D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22E"/>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6D4"/>
    <w:rsid w:val="002A172B"/>
    <w:rsid w:val="002A198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C16"/>
    <w:rsid w:val="002A7EB7"/>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58B5"/>
    <w:rsid w:val="002B640D"/>
    <w:rsid w:val="002B6464"/>
    <w:rsid w:val="002B6637"/>
    <w:rsid w:val="002B6E2A"/>
    <w:rsid w:val="002B7088"/>
    <w:rsid w:val="002B7543"/>
    <w:rsid w:val="002B7B23"/>
    <w:rsid w:val="002C03B2"/>
    <w:rsid w:val="002C0524"/>
    <w:rsid w:val="002C0728"/>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AB8"/>
    <w:rsid w:val="002D7BAE"/>
    <w:rsid w:val="002E03C4"/>
    <w:rsid w:val="002E05C4"/>
    <w:rsid w:val="002E05C8"/>
    <w:rsid w:val="002E080A"/>
    <w:rsid w:val="002E0850"/>
    <w:rsid w:val="002E08A2"/>
    <w:rsid w:val="002E1DD8"/>
    <w:rsid w:val="002E2661"/>
    <w:rsid w:val="002E2887"/>
    <w:rsid w:val="002E5250"/>
    <w:rsid w:val="002E5611"/>
    <w:rsid w:val="002E5D3E"/>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47F8"/>
    <w:rsid w:val="003149CC"/>
    <w:rsid w:val="00315A23"/>
    <w:rsid w:val="003161C2"/>
    <w:rsid w:val="003164EB"/>
    <w:rsid w:val="00316781"/>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2B7E"/>
    <w:rsid w:val="0033322F"/>
    <w:rsid w:val="00333651"/>
    <w:rsid w:val="0033377B"/>
    <w:rsid w:val="003356C4"/>
    <w:rsid w:val="0033620E"/>
    <w:rsid w:val="00336926"/>
    <w:rsid w:val="00336E56"/>
    <w:rsid w:val="00337056"/>
    <w:rsid w:val="0033775B"/>
    <w:rsid w:val="00337F6D"/>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6BA"/>
    <w:rsid w:val="00347AF7"/>
    <w:rsid w:val="00347B79"/>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4DF"/>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AF7"/>
    <w:rsid w:val="00394B59"/>
    <w:rsid w:val="00394F48"/>
    <w:rsid w:val="003955A8"/>
    <w:rsid w:val="003955EA"/>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2D0"/>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4FF"/>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8B5"/>
    <w:rsid w:val="004A3F5E"/>
    <w:rsid w:val="004A44F5"/>
    <w:rsid w:val="004A4664"/>
    <w:rsid w:val="004A48D7"/>
    <w:rsid w:val="004A5B79"/>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3C41"/>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82B"/>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7C8"/>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5ADE"/>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06"/>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E7B"/>
    <w:rsid w:val="006D21E6"/>
    <w:rsid w:val="006D3408"/>
    <w:rsid w:val="006D522C"/>
    <w:rsid w:val="006D56AC"/>
    <w:rsid w:val="006D5C55"/>
    <w:rsid w:val="006D5E63"/>
    <w:rsid w:val="006D6057"/>
    <w:rsid w:val="006D605E"/>
    <w:rsid w:val="006D60D9"/>
    <w:rsid w:val="006D75DB"/>
    <w:rsid w:val="006D7FDC"/>
    <w:rsid w:val="006E102D"/>
    <w:rsid w:val="006E1472"/>
    <w:rsid w:val="006E1B36"/>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0F5"/>
    <w:rsid w:val="00704184"/>
    <w:rsid w:val="00704F55"/>
    <w:rsid w:val="007053CE"/>
    <w:rsid w:val="0070545F"/>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362D"/>
    <w:rsid w:val="00773843"/>
    <w:rsid w:val="00774AFE"/>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732"/>
    <w:rsid w:val="00781E2D"/>
    <w:rsid w:val="00781F29"/>
    <w:rsid w:val="00782569"/>
    <w:rsid w:val="0078258C"/>
    <w:rsid w:val="00782D0C"/>
    <w:rsid w:val="007838DC"/>
    <w:rsid w:val="00783FAB"/>
    <w:rsid w:val="00784750"/>
    <w:rsid w:val="00784AAD"/>
    <w:rsid w:val="00784D1B"/>
    <w:rsid w:val="00785380"/>
    <w:rsid w:val="00785E01"/>
    <w:rsid w:val="00786382"/>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58"/>
    <w:rsid w:val="007B63A9"/>
    <w:rsid w:val="007B6983"/>
    <w:rsid w:val="007B6B80"/>
    <w:rsid w:val="007B6C67"/>
    <w:rsid w:val="007B6EAD"/>
    <w:rsid w:val="007B72BD"/>
    <w:rsid w:val="007B73EF"/>
    <w:rsid w:val="007B7626"/>
    <w:rsid w:val="007B7DDC"/>
    <w:rsid w:val="007C007E"/>
    <w:rsid w:val="007C0110"/>
    <w:rsid w:val="007C07A0"/>
    <w:rsid w:val="007C124A"/>
    <w:rsid w:val="007C14B2"/>
    <w:rsid w:val="007C205C"/>
    <w:rsid w:val="007C210E"/>
    <w:rsid w:val="007C28C0"/>
    <w:rsid w:val="007C3041"/>
    <w:rsid w:val="007C3162"/>
    <w:rsid w:val="007C3CCA"/>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31D1"/>
    <w:rsid w:val="008231D3"/>
    <w:rsid w:val="00823217"/>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512F"/>
    <w:rsid w:val="00835BA0"/>
    <w:rsid w:val="00835D42"/>
    <w:rsid w:val="00836067"/>
    <w:rsid w:val="00836169"/>
    <w:rsid w:val="008362FB"/>
    <w:rsid w:val="00836AC3"/>
    <w:rsid w:val="00836BF9"/>
    <w:rsid w:val="00837044"/>
    <w:rsid w:val="00837229"/>
    <w:rsid w:val="00837663"/>
    <w:rsid w:val="00837921"/>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357"/>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715"/>
    <w:rsid w:val="008B5C13"/>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B87"/>
    <w:rsid w:val="00903ED7"/>
    <w:rsid w:val="00904061"/>
    <w:rsid w:val="00904143"/>
    <w:rsid w:val="0090416A"/>
    <w:rsid w:val="00905254"/>
    <w:rsid w:val="0090622F"/>
    <w:rsid w:val="009062E4"/>
    <w:rsid w:val="0090630E"/>
    <w:rsid w:val="0090653F"/>
    <w:rsid w:val="00906845"/>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34B"/>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414"/>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125"/>
    <w:rsid w:val="00A268FC"/>
    <w:rsid w:val="00A26A8A"/>
    <w:rsid w:val="00A26C3C"/>
    <w:rsid w:val="00A26D29"/>
    <w:rsid w:val="00A26E64"/>
    <w:rsid w:val="00A2707D"/>
    <w:rsid w:val="00A27719"/>
    <w:rsid w:val="00A2782C"/>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513"/>
    <w:rsid w:val="00A4266E"/>
    <w:rsid w:val="00A42A5A"/>
    <w:rsid w:val="00A42F1C"/>
    <w:rsid w:val="00A43728"/>
    <w:rsid w:val="00A43A5B"/>
    <w:rsid w:val="00A43AA2"/>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19F3"/>
    <w:rsid w:val="00A723C8"/>
    <w:rsid w:val="00A726F0"/>
    <w:rsid w:val="00A7289B"/>
    <w:rsid w:val="00A72E4F"/>
    <w:rsid w:val="00A73066"/>
    <w:rsid w:val="00A730EC"/>
    <w:rsid w:val="00A737E5"/>
    <w:rsid w:val="00A7383E"/>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2BF"/>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76B"/>
    <w:rsid w:val="00AC0908"/>
    <w:rsid w:val="00AC0F4F"/>
    <w:rsid w:val="00AC10B3"/>
    <w:rsid w:val="00AC13F9"/>
    <w:rsid w:val="00AC1452"/>
    <w:rsid w:val="00AC1BAF"/>
    <w:rsid w:val="00AC1D4B"/>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32C"/>
    <w:rsid w:val="00AD14B3"/>
    <w:rsid w:val="00AD1D0C"/>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306"/>
    <w:rsid w:val="00B02426"/>
    <w:rsid w:val="00B02944"/>
    <w:rsid w:val="00B02EE3"/>
    <w:rsid w:val="00B02F72"/>
    <w:rsid w:val="00B0312A"/>
    <w:rsid w:val="00B031D5"/>
    <w:rsid w:val="00B037AC"/>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F4"/>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8C0"/>
    <w:rsid w:val="00BA5AC5"/>
    <w:rsid w:val="00BA650E"/>
    <w:rsid w:val="00BA6524"/>
    <w:rsid w:val="00BA66AC"/>
    <w:rsid w:val="00BA7619"/>
    <w:rsid w:val="00BA776E"/>
    <w:rsid w:val="00BB042A"/>
    <w:rsid w:val="00BB1101"/>
    <w:rsid w:val="00BB1793"/>
    <w:rsid w:val="00BB1CE2"/>
    <w:rsid w:val="00BB3C8F"/>
    <w:rsid w:val="00BB3E0E"/>
    <w:rsid w:val="00BB4607"/>
    <w:rsid w:val="00BB462F"/>
    <w:rsid w:val="00BB49C5"/>
    <w:rsid w:val="00BB4C52"/>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084"/>
    <w:rsid w:val="00BD185B"/>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BD2"/>
    <w:rsid w:val="00BE6282"/>
    <w:rsid w:val="00BE664F"/>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9A"/>
    <w:rsid w:val="00C049E7"/>
    <w:rsid w:val="00C04A98"/>
    <w:rsid w:val="00C04D92"/>
    <w:rsid w:val="00C04DE0"/>
    <w:rsid w:val="00C04FD4"/>
    <w:rsid w:val="00C05198"/>
    <w:rsid w:val="00C0528A"/>
    <w:rsid w:val="00C0539A"/>
    <w:rsid w:val="00C0539F"/>
    <w:rsid w:val="00C053AC"/>
    <w:rsid w:val="00C058F7"/>
    <w:rsid w:val="00C05BCD"/>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3C4"/>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15A2"/>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EF9"/>
    <w:rsid w:val="00CA5C68"/>
    <w:rsid w:val="00CA5FE1"/>
    <w:rsid w:val="00CA5FE3"/>
    <w:rsid w:val="00CA6891"/>
    <w:rsid w:val="00CA699E"/>
    <w:rsid w:val="00CA6D42"/>
    <w:rsid w:val="00CB029B"/>
    <w:rsid w:val="00CB1057"/>
    <w:rsid w:val="00CB11F8"/>
    <w:rsid w:val="00CB156D"/>
    <w:rsid w:val="00CB15D6"/>
    <w:rsid w:val="00CB167C"/>
    <w:rsid w:val="00CB16DD"/>
    <w:rsid w:val="00CB1C74"/>
    <w:rsid w:val="00CB1F80"/>
    <w:rsid w:val="00CB261B"/>
    <w:rsid w:val="00CB28E5"/>
    <w:rsid w:val="00CB2C15"/>
    <w:rsid w:val="00CB321F"/>
    <w:rsid w:val="00CB35AD"/>
    <w:rsid w:val="00CB582A"/>
    <w:rsid w:val="00CB5929"/>
    <w:rsid w:val="00CB5B59"/>
    <w:rsid w:val="00CB5C0A"/>
    <w:rsid w:val="00CB5D50"/>
    <w:rsid w:val="00CB6728"/>
    <w:rsid w:val="00CB69D7"/>
    <w:rsid w:val="00CB6A3D"/>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57"/>
    <w:rsid w:val="00CD3B96"/>
    <w:rsid w:val="00CD3D9F"/>
    <w:rsid w:val="00CD3F27"/>
    <w:rsid w:val="00CD42E5"/>
    <w:rsid w:val="00CD58B7"/>
    <w:rsid w:val="00CD59B2"/>
    <w:rsid w:val="00CD6478"/>
    <w:rsid w:val="00CD709F"/>
    <w:rsid w:val="00CD7318"/>
    <w:rsid w:val="00CD76A1"/>
    <w:rsid w:val="00CD7BB3"/>
    <w:rsid w:val="00CE046F"/>
    <w:rsid w:val="00CE0784"/>
    <w:rsid w:val="00CE0810"/>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25"/>
    <w:rsid w:val="00CF798D"/>
    <w:rsid w:val="00CF7B53"/>
    <w:rsid w:val="00CF7DE6"/>
    <w:rsid w:val="00D0048A"/>
    <w:rsid w:val="00D0159B"/>
    <w:rsid w:val="00D01988"/>
    <w:rsid w:val="00D01B46"/>
    <w:rsid w:val="00D01EBE"/>
    <w:rsid w:val="00D02624"/>
    <w:rsid w:val="00D02A12"/>
    <w:rsid w:val="00D0373F"/>
    <w:rsid w:val="00D03A5E"/>
    <w:rsid w:val="00D03A9D"/>
    <w:rsid w:val="00D03CF5"/>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61C"/>
    <w:rsid w:val="00D15824"/>
    <w:rsid w:val="00D15835"/>
    <w:rsid w:val="00D158F2"/>
    <w:rsid w:val="00D15936"/>
    <w:rsid w:val="00D15948"/>
    <w:rsid w:val="00D15CFC"/>
    <w:rsid w:val="00D16785"/>
    <w:rsid w:val="00D16794"/>
    <w:rsid w:val="00D16BC1"/>
    <w:rsid w:val="00D1738C"/>
    <w:rsid w:val="00D1787F"/>
    <w:rsid w:val="00D2074C"/>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77FAD"/>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303"/>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2007"/>
    <w:rsid w:val="00E3321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A11"/>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526"/>
    <w:rsid w:val="00F10B09"/>
    <w:rsid w:val="00F118EF"/>
    <w:rsid w:val="00F11CF4"/>
    <w:rsid w:val="00F11DFE"/>
    <w:rsid w:val="00F11FC0"/>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88D"/>
    <w:rsid w:val="00F51B2F"/>
    <w:rsid w:val="00F51DCA"/>
    <w:rsid w:val="00F520D1"/>
    <w:rsid w:val="00F52675"/>
    <w:rsid w:val="00F52710"/>
    <w:rsid w:val="00F52CAF"/>
    <w:rsid w:val="00F53134"/>
    <w:rsid w:val="00F5365A"/>
    <w:rsid w:val="00F5373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254"/>
    <w:rsid w:val="00F82372"/>
    <w:rsid w:val="00F82584"/>
    <w:rsid w:val="00F829BF"/>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5C6"/>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B23"/>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CF7EF49D-1729-420A-95F7-DE8A1DC4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E Funotenzeichen,A,Style 20,Style 34,Style 9,callout"/>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NumChar2">
    <w:name w:val="ParaNum Char2"/>
    <w:locked/>
    <w:rsid w:val="000C0B32"/>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656A1.pdf" TargetMode="External"/><Relationship Id="rId13" Type="http://schemas.openxmlformats.org/officeDocument/2006/relationships/hyperlink" Target="mailto:cramsey@brookspierce.com" TargetMode="External"/><Relationship Id="rId18" Type="http://schemas.openxmlformats.org/officeDocument/2006/relationships/hyperlink" Target="mailto:tnelson@brookspierc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kushner@brookspierce.com" TargetMode="External"/><Relationship Id="rId17" Type="http://schemas.openxmlformats.org/officeDocument/2006/relationships/hyperlink" Target="mailto:bdavis@brookspierce.com" TargetMode="External"/><Relationship Id="rId2" Type="http://schemas.openxmlformats.org/officeDocument/2006/relationships/numbering" Target="numbering.xml"/><Relationship Id="rId16" Type="http://schemas.openxmlformats.org/officeDocument/2006/relationships/hyperlink" Target="mailto:espainhour@brookspi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athen@brookspierc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mbrose@brookspierce.com" TargetMode="External"/><Relationship Id="rId23" Type="http://schemas.openxmlformats.org/officeDocument/2006/relationships/fontTable" Target="fontTable.xml"/><Relationship Id="rId10" Type="http://schemas.openxmlformats.org/officeDocument/2006/relationships/hyperlink" Target="mailto:mprak@brookspierce.com" TargetMode="External"/><Relationship Id="rId19" Type="http://schemas.openxmlformats.org/officeDocument/2006/relationships/hyperlink" Target="mailto:pcross@brookspierce.com" TargetMode="External"/><Relationship Id="rId4" Type="http://schemas.openxmlformats.org/officeDocument/2006/relationships/settings" Target="settings.xml"/><Relationship Id="rId9" Type="http://schemas.openxmlformats.org/officeDocument/2006/relationships/hyperlink" Target="https://docs.fcc.gov/public/attachments/DA-21-657A1.pdf" TargetMode="External"/><Relationship Id="rId14" Type="http://schemas.openxmlformats.org/officeDocument/2006/relationships/hyperlink" Target="mailto:shartzell@brookspierce.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07BB-D895-466F-AF21-2C64021D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5880</Characters>
  <Application>Microsoft Office Word</Application>
  <DocSecurity>0</DocSecurity>
  <Lines>178</Lines>
  <Paragraphs>42</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2021-06-04T20:03:00Z</cp:lastPrinted>
  <dcterms:created xsi:type="dcterms:W3CDTF">2021-06-04T20:05:00Z</dcterms:created>
  <dcterms:modified xsi:type="dcterms:W3CDTF">2021-06-04T20:05:00Z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