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401B41EC" w:rsidR="007D1905" w:rsidRDefault="007D1905" w:rsidP="00D050AA">
      <w:pPr>
        <w:spacing w:after="0"/>
        <w:textAlignment w:val="baseline"/>
        <w:rPr>
          <w:rFonts w:eastAsia="Times New Roman" w:cs="Times New Roman"/>
          <w:color w:val="000000"/>
          <w:spacing w:val="1"/>
          <w:sz w:val="26"/>
          <w:szCs w:val="26"/>
        </w:rPr>
      </w:pPr>
      <w:bookmarkStart w:id="0" w:name="_GoBack"/>
      <w:bookmarkEnd w:id="0"/>
    </w:p>
    <w:p w14:paraId="78E73E63" w14:textId="126B6CE9" w:rsidR="007E3A00" w:rsidRPr="002B6E2A" w:rsidRDefault="00D050AA"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April</w:t>
      </w:r>
      <w:r w:rsidR="00C433C4">
        <w:rPr>
          <w:rFonts w:eastAsia="Times New Roman" w:cs="Times New Roman"/>
          <w:color w:val="000000"/>
          <w:spacing w:val="1"/>
          <w:sz w:val="26"/>
          <w:szCs w:val="26"/>
        </w:rPr>
        <w:t xml:space="preserve"> 9</w:t>
      </w:r>
      <w:r w:rsidR="00A86404">
        <w:rPr>
          <w:rFonts w:eastAsia="Times New Roman" w:cs="Times New Roman"/>
          <w:color w:val="000000"/>
          <w:spacing w:val="1"/>
          <w:sz w:val="26"/>
          <w:szCs w:val="26"/>
        </w:rPr>
        <w:t>, 2021</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30530531" w14:textId="1327BDA3" w:rsidR="003E6FC6" w:rsidRDefault="003E6FC6" w:rsidP="003E6FC6">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BEEC4D8" wp14:editId="4F9CB779">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A84B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58265D06" w14:textId="6A3E3522" w:rsidR="00D45ABD" w:rsidRPr="00472784" w:rsidRDefault="00D45ABD" w:rsidP="00F4209C">
      <w:pPr>
        <w:spacing w:after="0"/>
        <w:contextualSpacing/>
        <w:rPr>
          <w:rFonts w:eastAsia="Calibri" w:cs="Times New Roman"/>
          <w:i/>
          <w:color w:val="2E74B5"/>
          <w:sz w:val="20"/>
          <w:szCs w:val="20"/>
        </w:rPr>
      </w:pPr>
    </w:p>
    <w:p w14:paraId="63377213" w14:textId="77777777" w:rsidR="003E6FC6" w:rsidRDefault="003E6FC6" w:rsidP="003E6FC6">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612024AF" w14:textId="0BCF28BE" w:rsidR="003E6FC6" w:rsidRPr="0080042A" w:rsidRDefault="003E6FC6" w:rsidP="003E6FC6">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3E6FC6" w14:paraId="40A55BD7" w14:textId="77777777" w:rsidTr="00400FF6">
        <w:trPr>
          <w:trHeight w:val="1530"/>
        </w:trPr>
        <w:tc>
          <w:tcPr>
            <w:tcW w:w="1741" w:type="dxa"/>
          </w:tcPr>
          <w:p w14:paraId="62CC8731" w14:textId="20DCCF5E" w:rsidR="003E6FC6" w:rsidRDefault="00D050AA" w:rsidP="00771F5E">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Reminder</w:t>
            </w:r>
            <w:r w:rsidR="003E6FC6" w:rsidRPr="002B7B23">
              <w:rPr>
                <w:rFonts w:ascii="Calibri Light" w:eastAsia="Calibri" w:hAnsi="Calibri Light" w:cs="Times New Roman"/>
                <w:i/>
                <w:sz w:val="32"/>
                <w:szCs w:val="32"/>
              </w:rPr>
              <w:t>s:</w:t>
            </w:r>
          </w:p>
        </w:tc>
        <w:tc>
          <w:tcPr>
            <w:tcW w:w="7619" w:type="dxa"/>
          </w:tcPr>
          <w:p w14:paraId="67B379EC" w14:textId="2CF92A89" w:rsidR="005B3A71" w:rsidRDefault="005B3A71" w:rsidP="00F4209C">
            <w:pPr>
              <w:spacing w:before="60"/>
              <w:jc w:val="both"/>
              <w:rPr>
                <w:b/>
              </w:rPr>
            </w:pPr>
            <w:r w:rsidRPr="00400FF6">
              <w:rPr>
                <w:b/>
              </w:rPr>
              <w:t>6-Month Warning:</w:t>
            </w:r>
            <w:r>
              <w:t xml:space="preserve"> </w:t>
            </w:r>
            <w:hyperlink w:anchor="_Consent_Decree_Imposes" w:history="1">
              <w:r w:rsidRPr="00400FF6">
                <w:rPr>
                  <w:rStyle w:val="Hyperlink"/>
                </w:rPr>
                <w:t>Repack Reimbursement Invoices Due October 8, 2021, for Eligible Stations that Were Assigned Completion Dates in Phases 1-5</w:t>
              </w:r>
            </w:hyperlink>
          </w:p>
          <w:p w14:paraId="5B6B5B95" w14:textId="7DA6ACD4" w:rsidR="000430C4" w:rsidRPr="004F4266" w:rsidRDefault="005B3A71" w:rsidP="00400FF6">
            <w:pPr>
              <w:spacing w:before="60"/>
              <w:jc w:val="both"/>
            </w:pPr>
            <w:r>
              <w:rPr>
                <w:b/>
              </w:rPr>
              <w:t xml:space="preserve">April 19, 2021: </w:t>
            </w:r>
            <w:hyperlink w:anchor="_April_19,_2021:" w:history="1">
              <w:r w:rsidRPr="005B3A71">
                <w:rPr>
                  <w:rStyle w:val="Hyperlink"/>
                </w:rPr>
                <w:t>FCC Filings Due for C-band Earth Station Operators Listed on FCC’s Inactive / Nonresponsive List</w:t>
              </w:r>
            </w:hyperlink>
          </w:p>
        </w:tc>
      </w:tr>
      <w:tr w:rsidR="00D050AA" w14:paraId="081A5984" w14:textId="77777777" w:rsidTr="004F4266">
        <w:trPr>
          <w:trHeight w:val="744"/>
        </w:trPr>
        <w:tc>
          <w:tcPr>
            <w:tcW w:w="1741" w:type="dxa"/>
          </w:tcPr>
          <w:p w14:paraId="52866524" w14:textId="00904EED" w:rsidR="00D050AA" w:rsidRDefault="00D050AA" w:rsidP="00771F5E">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Headlines</w:t>
            </w:r>
            <w:r w:rsidRPr="00D050AA">
              <w:rPr>
                <w:rFonts w:ascii="Calibri Light" w:eastAsia="Calibri" w:hAnsi="Calibri Light" w:cs="Times New Roman"/>
                <w:i/>
                <w:sz w:val="32"/>
                <w:szCs w:val="32"/>
              </w:rPr>
              <w:t>:</w:t>
            </w:r>
          </w:p>
        </w:tc>
        <w:tc>
          <w:tcPr>
            <w:tcW w:w="7619" w:type="dxa"/>
          </w:tcPr>
          <w:p w14:paraId="08E303ED" w14:textId="7F184D3A" w:rsidR="00D050AA" w:rsidRDefault="00F37295" w:rsidP="004F4266">
            <w:pPr>
              <w:spacing w:before="60"/>
              <w:jc w:val="both"/>
            </w:pPr>
            <w:hyperlink w:anchor="_FCC_Considering_Changes" w:history="1">
              <w:r w:rsidR="004F4266">
                <w:rPr>
                  <w:rStyle w:val="Hyperlink"/>
                </w:rPr>
                <w:t>FCC Cons</w:t>
              </w:r>
              <w:r w:rsidR="00B20581">
                <w:rPr>
                  <w:rStyle w:val="Hyperlink"/>
                </w:rPr>
                <w:t>idering Changes to EAS System Per</w:t>
              </w:r>
              <w:r w:rsidR="004F4266">
                <w:rPr>
                  <w:rStyle w:val="Hyperlink"/>
                </w:rPr>
                <w:t xml:space="preserve"> Congressional Command</w:t>
              </w:r>
            </w:hyperlink>
          </w:p>
        </w:tc>
      </w:tr>
    </w:tbl>
    <w:bookmarkStart w:id="1" w:name="_C-band_Lump_Sum"/>
    <w:bookmarkStart w:id="2" w:name="_**_Important_Radio"/>
    <w:bookmarkStart w:id="3" w:name="_Two-Day_Countdown_to"/>
    <w:bookmarkStart w:id="4" w:name="_New_FM_Translator"/>
    <w:bookmarkStart w:id="5" w:name="_Revised_Children’s_TV"/>
    <w:bookmarkStart w:id="6" w:name="_FCC_Reinstates_Prior"/>
    <w:bookmarkStart w:id="7" w:name="_Low_Power_TV"/>
    <w:bookmarkStart w:id="8" w:name="_Media_Bureau_Submits"/>
    <w:bookmarkStart w:id="9" w:name="_Media_Bureau_Announces"/>
    <w:bookmarkStart w:id="10" w:name="_U.S._DOJ_Supports"/>
    <w:bookmarkStart w:id="11" w:name="_E-Cigarette_Advertising_Category"/>
    <w:bookmarkStart w:id="12" w:name="_GMR_Offering_Interim"/>
    <w:bookmarkStart w:id="13" w:name="_MARCH_30,_2020:"/>
    <w:bookmarkStart w:id="14" w:name="_FCC_Provides_Guidance"/>
    <w:bookmarkStart w:id="15" w:name="_APRIL_1:_First"/>
    <w:bookmarkStart w:id="16" w:name="_Chairman_Pai_Thanks_1"/>
    <w:bookmarkStart w:id="17" w:name="_Commission_Issues_Draft"/>
    <w:bookmarkStart w:id="18" w:name="_Regulatory_Fees_fo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A240775" w14:textId="38C568D0" w:rsidR="00110086" w:rsidRPr="00110086" w:rsidRDefault="003E6FC6" w:rsidP="00110086">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1312" behindDoc="0" locked="1" layoutInCell="1" allowOverlap="1" wp14:anchorId="37A8735C" wp14:editId="287C810B">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D0168"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9" w:name="_Apparent_Violations_of"/>
      <w:bookmarkStart w:id="20" w:name="_FCC_Establishes_Firm"/>
      <w:bookmarkStart w:id="21" w:name="_FCC_Announces_2021"/>
      <w:bookmarkStart w:id="22" w:name="_$125,000_Fine_Imposed"/>
      <w:bookmarkStart w:id="23" w:name="_Commission_Imposes_$233,000"/>
      <w:bookmarkEnd w:id="19"/>
      <w:bookmarkEnd w:id="20"/>
      <w:bookmarkEnd w:id="21"/>
      <w:bookmarkEnd w:id="22"/>
      <w:bookmarkEnd w:id="23"/>
    </w:p>
    <w:p w14:paraId="7A1484DA" w14:textId="77777777" w:rsidR="00942948" w:rsidRDefault="004F4266" w:rsidP="007560E0">
      <w:pPr>
        <w:pStyle w:val="Heading1"/>
        <w:rPr>
          <w:rFonts w:eastAsia="Times New Roman"/>
          <w:sz w:val="32"/>
        </w:rPr>
      </w:pPr>
      <w:bookmarkStart w:id="24" w:name="_April_19,_2021,"/>
      <w:bookmarkStart w:id="25" w:name="_Consent_Decree_Imposes"/>
      <w:bookmarkStart w:id="26" w:name="_Enforcement_Bureau_Issues"/>
      <w:bookmarkStart w:id="27" w:name="_2020_Annual_Children’s"/>
      <w:bookmarkStart w:id="28" w:name="_$15,000_Fine_Meted"/>
      <w:bookmarkStart w:id="29" w:name="_Failures_to_Timely"/>
      <w:bookmarkStart w:id="30" w:name="_DTS/SFN_Rules_to"/>
      <w:bookmarkStart w:id="31" w:name="_6-Month_Warning:_Repack"/>
      <w:bookmarkEnd w:id="24"/>
      <w:bookmarkEnd w:id="25"/>
      <w:bookmarkEnd w:id="26"/>
      <w:bookmarkEnd w:id="27"/>
      <w:bookmarkEnd w:id="28"/>
      <w:bookmarkEnd w:id="29"/>
      <w:bookmarkEnd w:id="30"/>
      <w:bookmarkEnd w:id="31"/>
      <w:r>
        <w:rPr>
          <w:rFonts w:eastAsia="Times New Roman"/>
          <w:sz w:val="32"/>
        </w:rPr>
        <w:t xml:space="preserve">6-Month Warning: </w:t>
      </w:r>
      <w:r w:rsidRPr="004F4266">
        <w:rPr>
          <w:rFonts w:eastAsia="Times New Roman"/>
          <w:sz w:val="32"/>
        </w:rPr>
        <w:t xml:space="preserve">Repack Reimbursement Invoices Due October 8, 2021, for Eligible Stations that </w:t>
      </w:r>
      <w:r w:rsidR="00DB45CD">
        <w:rPr>
          <w:rFonts w:eastAsia="Times New Roman"/>
          <w:sz w:val="32"/>
        </w:rPr>
        <w:t xml:space="preserve">Were Assigned </w:t>
      </w:r>
    </w:p>
    <w:p w14:paraId="4DBF94DD" w14:textId="190BF075" w:rsidR="000812AE" w:rsidRPr="007560E0" w:rsidRDefault="00DB45CD" w:rsidP="007560E0">
      <w:pPr>
        <w:pStyle w:val="Heading1"/>
        <w:rPr>
          <w:sz w:val="32"/>
        </w:rPr>
      </w:pPr>
      <w:r>
        <w:rPr>
          <w:rFonts w:eastAsia="Times New Roman"/>
          <w:sz w:val="32"/>
        </w:rPr>
        <w:t>Completion Dates</w:t>
      </w:r>
      <w:r w:rsidR="004F4266" w:rsidRPr="004F4266">
        <w:rPr>
          <w:rFonts w:eastAsia="Times New Roman"/>
          <w:sz w:val="32"/>
        </w:rPr>
        <w:t xml:space="preserve"> in Phases 1-5</w:t>
      </w:r>
    </w:p>
    <w:p w14:paraId="49BED291" w14:textId="77777777" w:rsidR="000812AE" w:rsidRDefault="000812AE" w:rsidP="000812AE">
      <w:pPr>
        <w:autoSpaceDE w:val="0"/>
        <w:autoSpaceDN w:val="0"/>
        <w:adjustRightInd w:val="0"/>
        <w:spacing w:after="0"/>
        <w:ind w:firstLine="720"/>
        <w:jc w:val="both"/>
        <w:rPr>
          <w:rFonts w:eastAsia="Calibri" w:cs="Times New Roman"/>
          <w:szCs w:val="24"/>
        </w:rPr>
      </w:pPr>
    </w:p>
    <w:p w14:paraId="747F6AA3" w14:textId="03703AA6" w:rsidR="00DB45CD" w:rsidRPr="00A11940" w:rsidRDefault="00542893" w:rsidP="00DB45CD">
      <w:pPr>
        <w:autoSpaceDE w:val="0"/>
        <w:autoSpaceDN w:val="0"/>
        <w:adjustRightInd w:val="0"/>
        <w:spacing w:after="0"/>
        <w:ind w:firstLine="720"/>
        <w:jc w:val="both"/>
        <w:rPr>
          <w:rFonts w:eastAsia="Calibri" w:cs="Times New Roman"/>
          <w:iCs/>
          <w:szCs w:val="24"/>
        </w:rPr>
      </w:pPr>
      <w:r>
        <w:rPr>
          <w:rFonts w:cs="Times New Roman"/>
          <w:szCs w:val="24"/>
        </w:rPr>
        <w:t>In a</w:t>
      </w:r>
      <w:r w:rsidR="00907AAE">
        <w:rPr>
          <w:rFonts w:cs="Times New Roman"/>
          <w:szCs w:val="24"/>
        </w:rPr>
        <w:t xml:space="preserve"> </w:t>
      </w:r>
      <w:hyperlink r:id="rId8" w:history="1">
        <w:r w:rsidR="00907AAE" w:rsidRPr="00907AAE">
          <w:rPr>
            <w:rStyle w:val="Hyperlink"/>
            <w:rFonts w:cs="Times New Roman"/>
            <w:szCs w:val="24"/>
          </w:rPr>
          <w:t>Public Notice</w:t>
        </w:r>
      </w:hyperlink>
      <w:r w:rsidR="00907AAE">
        <w:rPr>
          <w:rFonts w:cs="Times New Roman"/>
          <w:szCs w:val="24"/>
        </w:rPr>
        <w:t xml:space="preserve"> </w:t>
      </w:r>
      <w:r>
        <w:rPr>
          <w:rFonts w:cs="Times New Roman"/>
          <w:szCs w:val="24"/>
        </w:rPr>
        <w:t xml:space="preserve">released </w:t>
      </w:r>
      <w:r w:rsidR="00D640FE">
        <w:rPr>
          <w:rFonts w:cs="Times New Roman"/>
          <w:szCs w:val="24"/>
        </w:rPr>
        <w:t>yesterday</w:t>
      </w:r>
      <w:r>
        <w:rPr>
          <w:rFonts w:cs="Times New Roman"/>
          <w:szCs w:val="24"/>
        </w:rPr>
        <w:t xml:space="preserve"> (the “Notice”), the FCC issued a reminder</w:t>
      </w:r>
      <w:r w:rsidR="00907AAE">
        <w:rPr>
          <w:rFonts w:cs="Times New Roman"/>
          <w:szCs w:val="24"/>
        </w:rPr>
        <w:t xml:space="preserve"> that b</w:t>
      </w:r>
      <w:r w:rsidR="00DB45CD">
        <w:rPr>
          <w:rFonts w:cs="Times New Roman"/>
          <w:szCs w:val="24"/>
        </w:rPr>
        <w:t xml:space="preserve">roadcasters who are eligible for reimbursement as part of the now-concluded spectrum repack and who transitioned in Phases 1-5 have only </w:t>
      </w:r>
      <w:r w:rsidR="00DB45CD">
        <w:rPr>
          <w:rFonts w:cs="Times New Roman"/>
          <w:b/>
          <w:szCs w:val="24"/>
          <w:u w:val="single"/>
        </w:rPr>
        <w:t>6 months left</w:t>
      </w:r>
      <w:r w:rsidR="00DB45CD">
        <w:rPr>
          <w:rFonts w:cs="Times New Roman"/>
          <w:szCs w:val="24"/>
        </w:rPr>
        <w:t xml:space="preserve"> in which to submit reimbursement invoices</w:t>
      </w:r>
      <w:r w:rsidR="00942948">
        <w:rPr>
          <w:rFonts w:cs="Times New Roman"/>
          <w:szCs w:val="24"/>
        </w:rPr>
        <w:t xml:space="preserve"> to the FCC</w:t>
      </w:r>
      <w:r w:rsidR="00A41A8B">
        <w:rPr>
          <w:rFonts w:cs="Times New Roman"/>
          <w:szCs w:val="24"/>
        </w:rPr>
        <w:t>.</w:t>
      </w:r>
      <w:r w:rsidR="00DB45CD">
        <w:rPr>
          <w:rFonts w:cs="Times New Roman"/>
          <w:szCs w:val="24"/>
        </w:rPr>
        <w:t xml:space="preserve">  As you likely recall, last fall the </w:t>
      </w:r>
      <w:r w:rsidR="00942948">
        <w:rPr>
          <w:rFonts w:cs="Times New Roman"/>
          <w:szCs w:val="24"/>
        </w:rPr>
        <w:t>Commission</w:t>
      </w:r>
      <w:r w:rsidR="00DB45CD">
        <w:rPr>
          <w:rFonts w:cs="Times New Roman"/>
          <w:szCs w:val="24"/>
        </w:rPr>
        <w:t xml:space="preserve"> </w:t>
      </w:r>
      <w:hyperlink r:id="rId9" w:history="1">
        <w:r w:rsidR="00907AAE">
          <w:rPr>
            <w:rStyle w:val="Hyperlink"/>
            <w:rFonts w:eastAsia="Calibri" w:cs="Times New Roman"/>
            <w:szCs w:val="24"/>
          </w:rPr>
          <w:t>established</w:t>
        </w:r>
      </w:hyperlink>
      <w:r w:rsidR="00DB45CD">
        <w:rPr>
          <w:rFonts w:eastAsia="Calibri" w:cs="Times New Roman"/>
          <w:szCs w:val="24"/>
        </w:rPr>
        <w:t xml:space="preserve"> firm deadlines by which eligible broadcasters affected by the spectrum repack must submit all remaining reimbursement invoices and other documentation</w:t>
      </w:r>
      <w:r w:rsidR="00DB45CD">
        <w:rPr>
          <w:rFonts w:eastAsia="Calibri" w:cs="Times New Roman"/>
          <w:iCs/>
          <w:szCs w:val="24"/>
        </w:rPr>
        <w:t>.  The deadlines vary based on stations’ assigned transition P</w:t>
      </w:r>
      <w:r w:rsidR="00DB45CD" w:rsidRPr="00A11940">
        <w:rPr>
          <w:rFonts w:eastAsia="Calibri" w:cs="Times New Roman"/>
          <w:iCs/>
          <w:szCs w:val="24"/>
        </w:rPr>
        <w:t xml:space="preserve">hases, as well </w:t>
      </w:r>
      <w:r w:rsidR="00DB45CD">
        <w:rPr>
          <w:rFonts w:eastAsia="Calibri" w:cs="Times New Roman"/>
          <w:iCs/>
          <w:szCs w:val="24"/>
        </w:rPr>
        <w:t>as by type of broadcast service</w:t>
      </w:r>
      <w:r w:rsidR="00DB45CD" w:rsidRPr="00A11940">
        <w:rPr>
          <w:rFonts w:eastAsia="Calibri" w:cs="Times New Roman"/>
          <w:iCs/>
          <w:szCs w:val="24"/>
        </w:rPr>
        <w:t>, as follows:</w:t>
      </w:r>
    </w:p>
    <w:p w14:paraId="572AF38A" w14:textId="77777777" w:rsidR="00DB45CD" w:rsidRPr="00A11940" w:rsidRDefault="00DB45CD" w:rsidP="00DB45CD">
      <w:pPr>
        <w:autoSpaceDE w:val="0"/>
        <w:autoSpaceDN w:val="0"/>
        <w:adjustRightInd w:val="0"/>
        <w:spacing w:after="0"/>
        <w:ind w:firstLine="720"/>
        <w:jc w:val="both"/>
        <w:rPr>
          <w:rFonts w:eastAsia="Calibri" w:cs="Times New Roman"/>
          <w:iCs/>
          <w:szCs w:val="24"/>
        </w:rPr>
      </w:pPr>
    </w:p>
    <w:p w14:paraId="25CDC695" w14:textId="2BBD8189" w:rsidR="00DB45CD" w:rsidRDefault="00DB45CD" w:rsidP="00DB45CD">
      <w:pPr>
        <w:pStyle w:val="ListParagraph"/>
        <w:numPr>
          <w:ilvl w:val="0"/>
          <w:numId w:val="6"/>
        </w:numPr>
        <w:autoSpaceDE w:val="0"/>
        <w:autoSpaceDN w:val="0"/>
        <w:adjustRightInd w:val="0"/>
        <w:spacing w:after="0"/>
        <w:jc w:val="both"/>
        <w:rPr>
          <w:rFonts w:ascii="Times New Roman" w:eastAsia="Calibri" w:hAnsi="Times New Roman" w:cs="Times New Roman"/>
          <w:iCs/>
          <w:sz w:val="24"/>
          <w:szCs w:val="24"/>
        </w:rPr>
      </w:pPr>
      <w:r w:rsidRPr="00A11940">
        <w:rPr>
          <w:rFonts w:ascii="Times New Roman" w:eastAsia="Calibri" w:hAnsi="Times New Roman" w:cs="Times New Roman"/>
          <w:b/>
          <w:iCs/>
          <w:sz w:val="24"/>
          <w:szCs w:val="24"/>
        </w:rPr>
        <w:t xml:space="preserve">October 8, 2021: </w:t>
      </w:r>
      <w:r w:rsidRPr="00A11940">
        <w:rPr>
          <w:rFonts w:ascii="Times New Roman" w:eastAsia="Calibri" w:hAnsi="Times New Roman" w:cs="Times New Roman"/>
          <w:iCs/>
          <w:sz w:val="24"/>
          <w:szCs w:val="24"/>
        </w:rPr>
        <w:t xml:space="preserve">Deadline for </w:t>
      </w:r>
      <w:r>
        <w:rPr>
          <w:rFonts w:ascii="Times New Roman" w:eastAsia="Calibri" w:hAnsi="Times New Roman" w:cs="Times New Roman"/>
          <w:iCs/>
          <w:sz w:val="24"/>
          <w:szCs w:val="24"/>
        </w:rPr>
        <w:t xml:space="preserve">final reimbursement submissions from </w:t>
      </w:r>
      <w:r w:rsidR="00030DAE">
        <w:rPr>
          <w:rFonts w:ascii="Times New Roman" w:eastAsia="Calibri" w:hAnsi="Times New Roman" w:cs="Times New Roman"/>
          <w:iCs/>
          <w:sz w:val="24"/>
          <w:szCs w:val="24"/>
        </w:rPr>
        <w:t xml:space="preserve">the </w:t>
      </w:r>
      <w:r w:rsidR="00542893">
        <w:rPr>
          <w:rFonts w:ascii="Times New Roman" w:eastAsia="Calibri" w:hAnsi="Times New Roman" w:cs="Times New Roman"/>
          <w:iCs/>
          <w:sz w:val="24"/>
          <w:szCs w:val="24"/>
        </w:rPr>
        <w:t>more than 500</w:t>
      </w:r>
      <w:r w:rsidR="00030DAE">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repacked stations assigned completion dates in Phases 1–5.</w:t>
      </w:r>
    </w:p>
    <w:p w14:paraId="6248069D" w14:textId="054F705D" w:rsidR="00DB45CD" w:rsidRDefault="00DB45CD" w:rsidP="00DB45CD">
      <w:pPr>
        <w:pStyle w:val="ListParagraph"/>
        <w:numPr>
          <w:ilvl w:val="0"/>
          <w:numId w:val="6"/>
        </w:numPr>
        <w:autoSpaceDE w:val="0"/>
        <w:autoSpaceDN w:val="0"/>
        <w:adjustRightInd w:val="0"/>
        <w:spacing w:after="0"/>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 xml:space="preserve">March 22, 2022: </w:t>
      </w:r>
      <w:r>
        <w:rPr>
          <w:rFonts w:ascii="Times New Roman" w:eastAsia="Calibri" w:hAnsi="Times New Roman" w:cs="Times New Roman"/>
          <w:iCs/>
          <w:sz w:val="24"/>
          <w:szCs w:val="24"/>
        </w:rPr>
        <w:t>Deadline for final reimbursement submissions from</w:t>
      </w:r>
      <w:r w:rsidR="00542893">
        <w:rPr>
          <w:rFonts w:ascii="Times New Roman" w:eastAsia="Calibri" w:hAnsi="Times New Roman" w:cs="Times New Roman"/>
          <w:iCs/>
          <w:sz w:val="24"/>
          <w:szCs w:val="24"/>
        </w:rPr>
        <w:t xml:space="preserve"> the approximately 440 </w:t>
      </w:r>
      <w:r>
        <w:rPr>
          <w:rFonts w:ascii="Times New Roman" w:eastAsia="Calibri" w:hAnsi="Times New Roman" w:cs="Times New Roman"/>
          <w:iCs/>
          <w:sz w:val="24"/>
          <w:szCs w:val="24"/>
        </w:rPr>
        <w:t>repacked stations assigned completion dates in Phases 6–10.</w:t>
      </w:r>
    </w:p>
    <w:p w14:paraId="00328FA1" w14:textId="77777777" w:rsidR="00DB45CD" w:rsidRDefault="00DB45CD" w:rsidP="00DB45CD">
      <w:pPr>
        <w:pStyle w:val="ListParagraph"/>
        <w:numPr>
          <w:ilvl w:val="0"/>
          <w:numId w:val="6"/>
        </w:numPr>
        <w:autoSpaceDE w:val="0"/>
        <w:autoSpaceDN w:val="0"/>
        <w:adjustRightInd w:val="0"/>
        <w:spacing w:after="0"/>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September 5, 2022:</w:t>
      </w:r>
      <w:r>
        <w:rPr>
          <w:rFonts w:ascii="Times New Roman" w:eastAsia="Calibri" w:hAnsi="Times New Roman" w:cs="Times New Roman"/>
          <w:iCs/>
          <w:sz w:val="24"/>
          <w:szCs w:val="24"/>
        </w:rPr>
        <w:t xml:space="preserve"> Deadline for final reimbursement submissions from FM, LPTV, and translator stations, as well as others.</w:t>
      </w:r>
    </w:p>
    <w:p w14:paraId="2EBCB7C1" w14:textId="77777777" w:rsidR="00DB45CD" w:rsidRDefault="00DB45CD" w:rsidP="00DB45CD">
      <w:pPr>
        <w:autoSpaceDE w:val="0"/>
        <w:autoSpaceDN w:val="0"/>
        <w:adjustRightInd w:val="0"/>
        <w:spacing w:after="0"/>
        <w:jc w:val="both"/>
        <w:rPr>
          <w:rFonts w:eastAsia="Calibri" w:cs="Times New Roman"/>
          <w:iCs/>
          <w:szCs w:val="24"/>
        </w:rPr>
      </w:pPr>
    </w:p>
    <w:p w14:paraId="18E23DA9" w14:textId="2A7CA292" w:rsidR="00DB45CD" w:rsidRPr="00762FCF" w:rsidRDefault="00DB45CD" w:rsidP="00DB45CD">
      <w:pPr>
        <w:autoSpaceDE w:val="0"/>
        <w:autoSpaceDN w:val="0"/>
        <w:adjustRightInd w:val="0"/>
        <w:spacing w:after="0"/>
        <w:jc w:val="both"/>
        <w:rPr>
          <w:rFonts w:eastAsia="Calibri" w:cs="Times New Roman"/>
          <w:iCs/>
          <w:szCs w:val="24"/>
        </w:rPr>
      </w:pPr>
      <w:r>
        <w:rPr>
          <w:rFonts w:eastAsia="Calibri" w:cs="Times New Roman"/>
          <w:iCs/>
          <w:szCs w:val="24"/>
        </w:rPr>
        <w:t>The deadlines are calibrated to try and provide FCC staff sufficient time to process requests prior to the</w:t>
      </w:r>
      <w:r w:rsidR="004E4290">
        <w:rPr>
          <w:rFonts w:eastAsia="Calibri" w:cs="Times New Roman"/>
          <w:iCs/>
          <w:szCs w:val="24"/>
        </w:rPr>
        <w:t xml:space="preserve"> Reimbursement Fund’s</w:t>
      </w:r>
      <w:r>
        <w:rPr>
          <w:rFonts w:eastAsia="Calibri" w:cs="Times New Roman"/>
          <w:iCs/>
          <w:szCs w:val="24"/>
        </w:rPr>
        <w:t xml:space="preserve"> </w:t>
      </w:r>
      <w:r w:rsidR="00691C84">
        <w:rPr>
          <w:rFonts w:eastAsia="Calibri" w:cs="Times New Roman"/>
          <w:iCs/>
          <w:szCs w:val="24"/>
        </w:rPr>
        <w:t xml:space="preserve">reimbursement </w:t>
      </w:r>
      <w:r>
        <w:rPr>
          <w:rFonts w:eastAsia="Calibri" w:cs="Times New Roman"/>
          <w:iCs/>
          <w:szCs w:val="24"/>
        </w:rPr>
        <w:t xml:space="preserve">deadline that is required by statute: </w:t>
      </w:r>
      <w:r w:rsidRPr="00762FCF">
        <w:rPr>
          <w:rFonts w:eastAsia="Calibri" w:cs="Times New Roman"/>
          <w:iCs/>
          <w:szCs w:val="24"/>
        </w:rPr>
        <w:t xml:space="preserve">on </w:t>
      </w:r>
      <w:r w:rsidRPr="00464E7F">
        <w:rPr>
          <w:rFonts w:eastAsia="Calibri" w:cs="Times New Roman"/>
          <w:b/>
          <w:iCs/>
          <w:szCs w:val="24"/>
          <w:u w:val="single"/>
        </w:rPr>
        <w:t>July 3, 2023</w:t>
      </w:r>
      <w:r w:rsidRPr="00762FCF">
        <w:rPr>
          <w:rFonts w:eastAsia="Calibri" w:cs="Times New Roman"/>
          <w:iCs/>
          <w:szCs w:val="24"/>
        </w:rPr>
        <w:t>, any unobligated amounts currently earmarked for reimbursement will be released and deposited into the U.S. Treasury.</w:t>
      </w:r>
    </w:p>
    <w:p w14:paraId="3A643664" w14:textId="162668B0" w:rsidR="00DB45CD" w:rsidRDefault="00DB45CD" w:rsidP="00DB45CD">
      <w:pPr>
        <w:autoSpaceDE w:val="0"/>
        <w:autoSpaceDN w:val="0"/>
        <w:adjustRightInd w:val="0"/>
        <w:spacing w:after="0"/>
        <w:jc w:val="both"/>
        <w:rPr>
          <w:rFonts w:eastAsia="Calibri" w:cs="Times New Roman"/>
          <w:iCs/>
          <w:szCs w:val="24"/>
        </w:rPr>
      </w:pPr>
    </w:p>
    <w:p w14:paraId="5A8ADC63" w14:textId="7A4A3BF5" w:rsidR="00907AAE" w:rsidRDefault="00907AAE" w:rsidP="00DB45CD">
      <w:pPr>
        <w:autoSpaceDE w:val="0"/>
        <w:autoSpaceDN w:val="0"/>
        <w:adjustRightInd w:val="0"/>
        <w:spacing w:after="0"/>
        <w:jc w:val="both"/>
        <w:rPr>
          <w:rFonts w:eastAsia="Calibri" w:cs="Times New Roman"/>
          <w:iCs/>
          <w:szCs w:val="24"/>
        </w:rPr>
      </w:pPr>
      <w:r>
        <w:rPr>
          <w:rFonts w:eastAsia="Calibri" w:cs="Times New Roman"/>
          <w:iCs/>
          <w:szCs w:val="24"/>
        </w:rPr>
        <w:tab/>
        <w:t>According to the Notice, as of April 6, 2021, only 28 repacked stations and 86 LPTV and/or TV translator stations have initiated interim close-out procedures</w:t>
      </w:r>
      <w:r w:rsidR="00030DAE">
        <w:rPr>
          <w:rFonts w:eastAsia="Calibri" w:cs="Times New Roman"/>
          <w:iCs/>
          <w:szCs w:val="24"/>
        </w:rPr>
        <w:t xml:space="preserve"> (</w:t>
      </w:r>
      <w:r>
        <w:rPr>
          <w:rFonts w:eastAsia="Calibri" w:cs="Times New Roman"/>
          <w:iCs/>
          <w:szCs w:val="24"/>
        </w:rPr>
        <w:t>i.e., the first of the FCC’s two-step close-out process to complete participation in the Reimbursement Fund</w:t>
      </w:r>
      <w:r w:rsidR="00030DAE">
        <w:rPr>
          <w:rFonts w:eastAsia="Calibri" w:cs="Times New Roman"/>
          <w:iCs/>
          <w:szCs w:val="24"/>
        </w:rPr>
        <w:t>)</w:t>
      </w:r>
      <w:r>
        <w:rPr>
          <w:rFonts w:eastAsia="Calibri" w:cs="Times New Roman"/>
          <w:iCs/>
          <w:szCs w:val="24"/>
        </w:rPr>
        <w:t>.  And 341 entities have not submitted any invoices at all, in</w:t>
      </w:r>
      <w:r w:rsidR="000774AE">
        <w:rPr>
          <w:rFonts w:eastAsia="Calibri" w:cs="Times New Roman"/>
          <w:iCs/>
          <w:szCs w:val="24"/>
        </w:rPr>
        <w:t>cluding 8 repacked stations, 168</w:t>
      </w:r>
      <w:r>
        <w:rPr>
          <w:rFonts w:eastAsia="Calibri" w:cs="Times New Roman"/>
          <w:iCs/>
          <w:szCs w:val="24"/>
        </w:rPr>
        <w:t xml:space="preserve"> LPTV and/or TV translator stations, and 10 FM stations.</w:t>
      </w:r>
      <w:r w:rsidR="003E393B">
        <w:rPr>
          <w:rFonts w:eastAsia="Calibri" w:cs="Times New Roman"/>
          <w:iCs/>
          <w:szCs w:val="24"/>
        </w:rPr>
        <w:t xml:space="preserve">  As compared to the number of stations affected by the repack, the Notice emphasizes that “[b]ecause</w:t>
      </w:r>
      <w:r w:rsidR="003E393B" w:rsidRPr="003E393B">
        <w:t xml:space="preserve"> </w:t>
      </w:r>
      <w:r w:rsidR="003E393B" w:rsidRPr="003E393B">
        <w:rPr>
          <w:rFonts w:eastAsia="Calibri" w:cs="Times New Roman"/>
          <w:iCs/>
          <w:szCs w:val="24"/>
        </w:rPr>
        <w:t>953 repacked stations are operating on their final facilities but only 28 repacked stations and 86 LPTV/translator stations have initiated interim close-out procedures, we are concerned that many entities may be unnecessarily delaying making final submissions to the program and initiating interim close-out procedures.</w:t>
      </w:r>
      <w:r w:rsidR="003E393B">
        <w:rPr>
          <w:rFonts w:eastAsia="Calibri" w:cs="Times New Roman"/>
          <w:iCs/>
          <w:szCs w:val="24"/>
        </w:rPr>
        <w:t>”</w:t>
      </w:r>
    </w:p>
    <w:p w14:paraId="2E466AD4" w14:textId="77777777" w:rsidR="00907AAE" w:rsidRPr="00762FCF" w:rsidRDefault="00907AAE" w:rsidP="00DB45CD">
      <w:pPr>
        <w:autoSpaceDE w:val="0"/>
        <w:autoSpaceDN w:val="0"/>
        <w:adjustRightInd w:val="0"/>
        <w:spacing w:after="0"/>
        <w:jc w:val="both"/>
        <w:rPr>
          <w:rFonts w:eastAsia="Calibri" w:cs="Times New Roman"/>
          <w:iCs/>
          <w:szCs w:val="24"/>
        </w:rPr>
      </w:pPr>
    </w:p>
    <w:p w14:paraId="1106D9D7" w14:textId="30EBC974" w:rsidR="00DB45CD" w:rsidRDefault="00030DAE" w:rsidP="00AE389B">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In light of those concerns—and </w:t>
      </w:r>
      <w:r w:rsidR="00AE389B">
        <w:rPr>
          <w:rFonts w:eastAsia="Calibri" w:cs="Times New Roman"/>
          <w:iCs/>
          <w:szCs w:val="24"/>
        </w:rPr>
        <w:t>although the October 8, 2021, deadline for repacked stations assigned completion dates in Phases 1–5 is still approximately sixth months away</w:t>
      </w:r>
      <w:r w:rsidR="000774AE">
        <w:rPr>
          <w:rFonts w:eastAsia="Calibri" w:cs="Times New Roman"/>
          <w:iCs/>
          <w:szCs w:val="24"/>
        </w:rPr>
        <w:t xml:space="preserve">—the </w:t>
      </w:r>
      <w:r w:rsidR="00AE389B">
        <w:rPr>
          <w:rFonts w:eastAsia="Calibri" w:cs="Times New Roman"/>
          <w:iCs/>
          <w:szCs w:val="24"/>
        </w:rPr>
        <w:t>FCC has emphasized</w:t>
      </w:r>
      <w:r w:rsidR="00DB45CD">
        <w:rPr>
          <w:rFonts w:eastAsia="Calibri" w:cs="Times New Roman"/>
          <w:iCs/>
          <w:szCs w:val="24"/>
        </w:rPr>
        <w:t xml:space="preserve"> that </w:t>
      </w:r>
      <w:r w:rsidR="00DB45CD" w:rsidRPr="0010368C">
        <w:rPr>
          <w:rFonts w:eastAsia="Calibri" w:cs="Times New Roman"/>
          <w:b/>
          <w:iCs/>
          <w:szCs w:val="24"/>
          <w:u w:val="single"/>
        </w:rPr>
        <w:t>broadcasters should submit reimbursem</w:t>
      </w:r>
      <w:r>
        <w:rPr>
          <w:rFonts w:eastAsia="Calibri" w:cs="Times New Roman"/>
          <w:b/>
          <w:iCs/>
          <w:szCs w:val="24"/>
          <w:u w:val="single"/>
        </w:rPr>
        <w:t>ent requests and initiate close</w:t>
      </w:r>
      <w:r>
        <w:rPr>
          <w:rFonts w:eastAsia="Calibri" w:cs="Times New Roman"/>
          <w:b/>
          <w:iCs/>
          <w:szCs w:val="24"/>
          <w:u w:val="single"/>
        </w:rPr>
        <w:noBreakHyphen/>
      </w:r>
      <w:r w:rsidR="00DB45CD" w:rsidRPr="0010368C">
        <w:rPr>
          <w:rFonts w:eastAsia="Calibri" w:cs="Times New Roman"/>
          <w:b/>
          <w:iCs/>
          <w:szCs w:val="24"/>
          <w:u w:val="single"/>
        </w:rPr>
        <w:t>out procedures “as early as possible</w:t>
      </w:r>
      <w:r w:rsidR="0003326F">
        <w:rPr>
          <w:rFonts w:eastAsia="Calibri" w:cs="Times New Roman"/>
          <w:b/>
          <w:iCs/>
          <w:szCs w:val="24"/>
          <w:u w:val="single"/>
        </w:rPr>
        <w:t>.</w:t>
      </w:r>
      <w:r w:rsidR="00DB45CD" w:rsidRPr="00464E7F">
        <w:rPr>
          <w:rFonts w:eastAsia="Calibri" w:cs="Times New Roman"/>
          <w:b/>
          <w:iCs/>
          <w:szCs w:val="24"/>
        </w:rPr>
        <w:t>”</w:t>
      </w:r>
      <w:r w:rsidR="00DB45CD">
        <w:rPr>
          <w:rFonts w:eastAsia="Calibri" w:cs="Times New Roman"/>
          <w:iCs/>
          <w:szCs w:val="24"/>
        </w:rPr>
        <w:t xml:space="preserve">  E</w:t>
      </w:r>
      <w:r w:rsidR="00DB45CD" w:rsidRPr="006B3865">
        <w:rPr>
          <w:rFonts w:eastAsia="Calibri" w:cs="Times New Roman"/>
          <w:iCs/>
          <w:szCs w:val="24"/>
        </w:rPr>
        <w:t>xpenses</w:t>
      </w:r>
      <w:r w:rsidR="00DB45CD">
        <w:rPr>
          <w:rFonts w:eastAsia="Calibri" w:cs="Times New Roman"/>
          <w:iCs/>
          <w:szCs w:val="24"/>
        </w:rPr>
        <w:t xml:space="preserve"> are reimbursable when incurred, and therefore can be submitted even while final construction remains ongoing.  </w:t>
      </w:r>
      <w:r w:rsidR="00AE389B">
        <w:rPr>
          <w:rFonts w:eastAsia="Calibri" w:cs="Times New Roman"/>
          <w:iCs/>
          <w:szCs w:val="24"/>
        </w:rPr>
        <w:t>As a coro</w:t>
      </w:r>
      <w:r w:rsidR="0003326F">
        <w:rPr>
          <w:rFonts w:eastAsia="Calibri" w:cs="Times New Roman"/>
          <w:iCs/>
          <w:szCs w:val="24"/>
        </w:rPr>
        <w:t xml:space="preserve">llary, the Notice also </w:t>
      </w:r>
      <w:r>
        <w:rPr>
          <w:rFonts w:eastAsia="Calibri" w:cs="Times New Roman"/>
          <w:iCs/>
          <w:szCs w:val="24"/>
        </w:rPr>
        <w:t xml:space="preserve">reemphasizes </w:t>
      </w:r>
      <w:r w:rsidR="00DB45CD">
        <w:rPr>
          <w:rFonts w:eastAsia="Calibri" w:cs="Times New Roman"/>
          <w:iCs/>
          <w:szCs w:val="24"/>
        </w:rPr>
        <w:t xml:space="preserve">that the Commission does “not anticipate a need to grant extensions of the assigned </w:t>
      </w:r>
      <w:r>
        <w:rPr>
          <w:rFonts w:eastAsia="Calibri" w:cs="Times New Roman"/>
          <w:iCs/>
          <w:szCs w:val="24"/>
        </w:rPr>
        <w:t xml:space="preserve">invoice submission </w:t>
      </w:r>
      <w:r w:rsidR="00DB45CD">
        <w:rPr>
          <w:rFonts w:eastAsia="Calibri" w:cs="Times New Roman"/>
          <w:iCs/>
          <w:szCs w:val="24"/>
        </w:rPr>
        <w:t xml:space="preserve">deadlines” for reimbursement, and extension requests will only be granted in extreme circumstances outside of the </w:t>
      </w:r>
      <w:r w:rsidR="00AE389B">
        <w:rPr>
          <w:rFonts w:eastAsia="Calibri" w:cs="Times New Roman"/>
          <w:iCs/>
          <w:szCs w:val="24"/>
        </w:rPr>
        <w:t xml:space="preserve">requesting </w:t>
      </w:r>
      <w:r w:rsidR="00DB45CD">
        <w:rPr>
          <w:rFonts w:eastAsia="Calibri" w:cs="Times New Roman"/>
          <w:iCs/>
          <w:szCs w:val="24"/>
        </w:rPr>
        <w:t>entity’s control, such as local zoning or a “force majeure” event.</w:t>
      </w:r>
    </w:p>
    <w:p w14:paraId="4EDFBE2F" w14:textId="77777777" w:rsidR="00DB45CD" w:rsidRDefault="00DB45CD" w:rsidP="00DB45CD">
      <w:pPr>
        <w:autoSpaceDE w:val="0"/>
        <w:autoSpaceDN w:val="0"/>
        <w:adjustRightInd w:val="0"/>
        <w:spacing w:after="0"/>
        <w:jc w:val="both"/>
        <w:rPr>
          <w:rFonts w:eastAsia="Calibri" w:cs="Times New Roman"/>
          <w:iCs/>
          <w:szCs w:val="24"/>
        </w:rPr>
      </w:pPr>
    </w:p>
    <w:p w14:paraId="572D0DFD" w14:textId="38841E81" w:rsidR="00F85F78" w:rsidRPr="00F85F78" w:rsidRDefault="00DB45CD" w:rsidP="00400FF6">
      <w:pPr>
        <w:autoSpaceDE w:val="0"/>
        <w:autoSpaceDN w:val="0"/>
        <w:adjustRightInd w:val="0"/>
        <w:spacing w:after="0"/>
        <w:ind w:firstLine="720"/>
        <w:jc w:val="both"/>
        <w:rPr>
          <w:rFonts w:eastAsia="Calibri" w:cs="Times New Roman"/>
          <w:szCs w:val="24"/>
        </w:rPr>
      </w:pPr>
      <w:r>
        <w:rPr>
          <w:rFonts w:eastAsia="Calibri" w:cs="Times New Roman"/>
          <w:iCs/>
          <w:szCs w:val="24"/>
        </w:rPr>
        <w:t xml:space="preserve">Finally, each broadcaster seeking reimbursement must remember to retain all documentation relating to reimbursement for a period ending 10 years after the date on which the broadcaster receives final payment from the Reimbursement Fund.  All reimbursement submissions are subject to Commission review to prevent waste, fraud, and abuse, and therefore all broadcasters seeking reimbursement may be selected for audits, data validations, and site visits at any time—i.e., before </w:t>
      </w:r>
      <w:r>
        <w:rPr>
          <w:rFonts w:eastAsia="Calibri" w:cs="Times New Roman"/>
          <w:iCs/>
          <w:szCs w:val="24"/>
          <w:u w:val="single"/>
        </w:rPr>
        <w:t>or</w:t>
      </w:r>
      <w:r>
        <w:rPr>
          <w:rFonts w:eastAsia="Calibri" w:cs="Times New Roman"/>
          <w:iCs/>
          <w:szCs w:val="24"/>
        </w:rPr>
        <w:t xml:space="preserve"> after a station has received reimbursement.</w:t>
      </w:r>
    </w:p>
    <w:p w14:paraId="3C55922F" w14:textId="09142232" w:rsidR="00417456" w:rsidRDefault="00417456" w:rsidP="0029719E">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4707C0E" w14:textId="1C536645" w:rsidR="00A12347" w:rsidRDefault="00A12347" w:rsidP="00A12347">
      <w:pPr>
        <w:tabs>
          <w:tab w:val="left" w:pos="720"/>
        </w:tabs>
        <w:autoSpaceDE w:val="0"/>
        <w:autoSpaceDN w:val="0"/>
        <w:adjustRightInd w:val="0"/>
        <w:spacing w:after="0"/>
        <w:contextualSpacing/>
        <w:rPr>
          <w:rFonts w:eastAsia="Calibri" w:cs="Times New Roman"/>
          <w:color w:val="2E74B5"/>
          <w:szCs w:val="24"/>
        </w:rPr>
      </w:pPr>
      <w:bookmarkStart w:id="32" w:name="_$1,500_Fine_Proposed"/>
      <w:bookmarkStart w:id="33" w:name="_Draft_Report_and"/>
      <w:bookmarkEnd w:id="32"/>
      <w:bookmarkEnd w:id="33"/>
    </w:p>
    <w:p w14:paraId="612710CD" w14:textId="77777777" w:rsidR="00F54AC0" w:rsidRDefault="00F54AC0">
      <w:pPr>
        <w:spacing w:after="160" w:line="259" w:lineRule="auto"/>
        <w:rPr>
          <w:rFonts w:asciiTheme="majorHAnsi" w:eastAsia="Times New Roman" w:hAnsiTheme="majorHAnsi" w:cstheme="majorBidi"/>
          <w:color w:val="2E74B5" w:themeColor="accent1" w:themeShade="BF"/>
          <w:sz w:val="32"/>
          <w:szCs w:val="32"/>
        </w:rPr>
      </w:pPr>
      <w:bookmarkStart w:id="34" w:name="_April_19,_2021:"/>
      <w:bookmarkEnd w:id="34"/>
      <w:r>
        <w:rPr>
          <w:rFonts w:eastAsia="Times New Roman"/>
          <w:sz w:val="32"/>
        </w:rPr>
        <w:br w:type="page"/>
      </w:r>
    </w:p>
    <w:p w14:paraId="298C963D" w14:textId="0ABBC952" w:rsidR="005B3A71" w:rsidRPr="006A06F7" w:rsidRDefault="005B3A71" w:rsidP="005B3A71">
      <w:pPr>
        <w:pStyle w:val="Heading1"/>
        <w:rPr>
          <w:sz w:val="32"/>
        </w:rPr>
      </w:pPr>
      <w:r>
        <w:rPr>
          <w:rFonts w:eastAsia="Times New Roman"/>
          <w:sz w:val="32"/>
        </w:rPr>
        <w:lastRenderedPageBreak/>
        <w:t xml:space="preserve">April 19, 2021: Filing Deadline </w:t>
      </w:r>
      <w:r w:rsidRPr="004F4266">
        <w:rPr>
          <w:rFonts w:eastAsia="Times New Roman"/>
          <w:sz w:val="32"/>
        </w:rPr>
        <w:t>for C-band Earth Station Operators Listed on FCC’s Inactive / Nonresponsive List</w:t>
      </w:r>
    </w:p>
    <w:p w14:paraId="116C7C4D" w14:textId="77777777" w:rsidR="005B3A71" w:rsidRDefault="005B3A71" w:rsidP="005B3A71">
      <w:pPr>
        <w:autoSpaceDE w:val="0"/>
        <w:autoSpaceDN w:val="0"/>
        <w:adjustRightInd w:val="0"/>
        <w:spacing w:after="0"/>
        <w:ind w:firstLine="720"/>
        <w:jc w:val="both"/>
        <w:rPr>
          <w:rFonts w:eastAsia="Calibri" w:cs="Times New Roman"/>
          <w:szCs w:val="24"/>
        </w:rPr>
      </w:pPr>
    </w:p>
    <w:p w14:paraId="09E95D28" w14:textId="77777777" w:rsidR="005B3A71" w:rsidRDefault="005B3A71" w:rsidP="005B3A71">
      <w:pPr>
        <w:autoSpaceDE w:val="0"/>
        <w:autoSpaceDN w:val="0"/>
        <w:adjustRightInd w:val="0"/>
        <w:spacing w:after="0"/>
        <w:ind w:firstLine="720"/>
        <w:jc w:val="both"/>
        <w:rPr>
          <w:rFonts w:eastAsia="Calibri" w:cs="Times New Roman"/>
          <w:szCs w:val="24"/>
        </w:rPr>
      </w:pPr>
      <w:r w:rsidRPr="00653090">
        <w:rPr>
          <w:rFonts w:eastAsia="Calibri" w:cs="Times New Roman"/>
          <w:b/>
          <w:szCs w:val="24"/>
          <w:u w:val="single"/>
        </w:rPr>
        <w:t>April 19, 2021</w:t>
      </w:r>
      <w:r>
        <w:rPr>
          <w:rFonts w:eastAsia="Calibri" w:cs="Times New Roman"/>
          <w:szCs w:val="24"/>
        </w:rPr>
        <w:t>, marks the deadline by which “inactive” and “unresponsive” incumbent earth station operators must file notices in the C-band incumbency docket or risk losing their authorization and incumbent status.  Please read on for further information and context.</w:t>
      </w:r>
    </w:p>
    <w:p w14:paraId="58A7906F" w14:textId="77777777" w:rsidR="005B3A71" w:rsidRDefault="005B3A71" w:rsidP="005B3A71">
      <w:pPr>
        <w:autoSpaceDE w:val="0"/>
        <w:autoSpaceDN w:val="0"/>
        <w:adjustRightInd w:val="0"/>
        <w:spacing w:after="0"/>
        <w:jc w:val="both"/>
        <w:rPr>
          <w:rFonts w:eastAsia="Calibri" w:cs="Times New Roman"/>
          <w:szCs w:val="24"/>
        </w:rPr>
      </w:pPr>
    </w:p>
    <w:p w14:paraId="2F5CE86A" w14:textId="77777777" w:rsidR="005B3A71" w:rsidRDefault="005B3A71" w:rsidP="005B3A71">
      <w:pPr>
        <w:autoSpaceDE w:val="0"/>
        <w:autoSpaceDN w:val="0"/>
        <w:adjustRightInd w:val="0"/>
        <w:spacing w:after="0"/>
        <w:jc w:val="both"/>
        <w:rPr>
          <w:rFonts w:eastAsia="Calibri" w:cs="Times New Roman"/>
          <w:szCs w:val="24"/>
        </w:rPr>
      </w:pPr>
      <w:r>
        <w:rPr>
          <w:i/>
          <w:color w:val="2E74B5" w:themeColor="accent1" w:themeShade="BF"/>
          <w:szCs w:val="24"/>
        </w:rPr>
        <w:t>Background</w:t>
      </w:r>
      <w:r>
        <w:rPr>
          <w:szCs w:val="24"/>
        </w:rPr>
        <w:t xml:space="preserve">.  You may recall that, against the backdrop of the ongoing C-band transition, </w:t>
      </w:r>
      <w:r>
        <w:rPr>
          <w:rFonts w:eastAsia="Calibri" w:cs="Times New Roman"/>
          <w:szCs w:val="24"/>
        </w:rPr>
        <w:t xml:space="preserve">earlier this year the FCC’s International Bureau issued a </w:t>
      </w:r>
      <w:hyperlink r:id="rId10" w:history="1">
        <w:r w:rsidRPr="002F2425">
          <w:rPr>
            <w:rStyle w:val="Hyperlink"/>
            <w:rFonts w:eastAsia="Calibri" w:cs="Times New Roman"/>
            <w:szCs w:val="24"/>
          </w:rPr>
          <w:t>Public Notice</w:t>
        </w:r>
      </w:hyperlink>
      <w:r>
        <w:rPr>
          <w:rFonts w:eastAsia="Calibri" w:cs="Times New Roman"/>
          <w:szCs w:val="24"/>
        </w:rPr>
        <w:t xml:space="preserve"> (the “Notice”) announcing that the C-band </w:t>
      </w:r>
      <w:r w:rsidRPr="007B20EB">
        <w:rPr>
          <w:rFonts w:eastAsia="Calibri" w:cs="Times New Roman"/>
          <w:szCs w:val="24"/>
        </w:rPr>
        <w:t xml:space="preserve">“Relocation Coordinator” (i.e., RSM US LLP, or RSM) </w:t>
      </w:r>
      <w:r>
        <w:rPr>
          <w:rFonts w:eastAsia="Calibri" w:cs="Times New Roman"/>
          <w:szCs w:val="24"/>
        </w:rPr>
        <w:t>had filed two important lists: (1) </w:t>
      </w:r>
      <w:hyperlink r:id="rId11" w:history="1">
        <w:r w:rsidRPr="00170ED1">
          <w:rPr>
            <w:rStyle w:val="Hyperlink"/>
            <w:rFonts w:eastAsia="Calibri" w:cs="Times New Roman"/>
            <w:szCs w:val="24"/>
          </w:rPr>
          <w:t>one</w:t>
        </w:r>
      </w:hyperlink>
      <w:r>
        <w:rPr>
          <w:rFonts w:eastAsia="Calibri" w:cs="Times New Roman"/>
          <w:szCs w:val="24"/>
        </w:rPr>
        <w:t xml:space="preserve"> list comprised of earth station operators </w:t>
      </w:r>
      <w:r w:rsidRPr="00374AE0">
        <w:rPr>
          <w:rFonts w:eastAsia="Calibri" w:cs="Times New Roman"/>
          <w:szCs w:val="24"/>
        </w:rPr>
        <w:t>(i.e., broadcasters with C-band downlink dishes)</w:t>
      </w:r>
      <w:r>
        <w:rPr>
          <w:rFonts w:eastAsia="Calibri" w:cs="Times New Roman"/>
          <w:szCs w:val="24"/>
        </w:rPr>
        <w:t xml:space="preserve"> whose earth station(s) qualify for incumbent status but whom RSM and/or the applicable incumbent C-band satellite operator was unable to contact regarding the forthcoming C-band transition; and (2) </w:t>
      </w:r>
      <w:hyperlink r:id="rId12" w:history="1">
        <w:r w:rsidRPr="00170ED1">
          <w:rPr>
            <w:rStyle w:val="Hyperlink"/>
            <w:rFonts w:eastAsia="Calibri" w:cs="Times New Roman"/>
            <w:szCs w:val="24"/>
          </w:rPr>
          <w:t>one</w:t>
        </w:r>
      </w:hyperlink>
      <w:r>
        <w:rPr>
          <w:rFonts w:eastAsia="Calibri" w:cs="Times New Roman"/>
          <w:szCs w:val="24"/>
        </w:rPr>
        <w:t xml:space="preserve"> list comprised of earth station operators who have one or more earth station antennas (i.e., C-band downlink dishes) that qualified for incumbent status but were reported as no longer operational.  </w:t>
      </w:r>
    </w:p>
    <w:p w14:paraId="1A4CE82D" w14:textId="77777777" w:rsidR="005B3A71" w:rsidRDefault="005B3A71" w:rsidP="005B3A71">
      <w:pPr>
        <w:autoSpaceDE w:val="0"/>
        <w:autoSpaceDN w:val="0"/>
        <w:adjustRightInd w:val="0"/>
        <w:spacing w:after="0"/>
        <w:jc w:val="both"/>
        <w:rPr>
          <w:rFonts w:eastAsia="Calibri" w:cs="Times New Roman"/>
          <w:szCs w:val="24"/>
        </w:rPr>
      </w:pPr>
    </w:p>
    <w:p w14:paraId="1373CCA2" w14:textId="77777777" w:rsidR="005B3A71" w:rsidRPr="00952F33" w:rsidRDefault="005B3A71" w:rsidP="005B3A71">
      <w:pPr>
        <w:autoSpaceDE w:val="0"/>
        <w:autoSpaceDN w:val="0"/>
        <w:adjustRightInd w:val="0"/>
        <w:spacing w:after="0"/>
        <w:ind w:firstLine="720"/>
        <w:jc w:val="both"/>
        <w:rPr>
          <w:rFonts w:eastAsia="Calibri" w:cs="Times New Roman"/>
          <w:szCs w:val="24"/>
        </w:rPr>
      </w:pPr>
      <w:r>
        <w:rPr>
          <w:rFonts w:eastAsia="Calibri" w:cs="Times New Roman"/>
          <w:szCs w:val="24"/>
        </w:rPr>
        <w:t xml:space="preserve">The Notice requests that all earth station operators with qualifying incumbent earth stations review these lists and, if any operator discovers that it appears on either list when it believes that it should not, </w:t>
      </w:r>
      <w:r w:rsidRPr="00952F33">
        <w:rPr>
          <w:rFonts w:eastAsia="Calibri" w:cs="Times New Roman"/>
          <w:szCs w:val="24"/>
        </w:rPr>
        <w:t>file by April 19, 2021, a notice with certain required information in the C</w:t>
      </w:r>
      <w:r w:rsidRPr="00952F33">
        <w:rPr>
          <w:rFonts w:eastAsia="Calibri" w:cs="Times New Roman"/>
          <w:szCs w:val="24"/>
        </w:rPr>
        <w:noBreakHyphen/>
        <w:t>band incumbency docket (IB Docket No. 20-205).</w:t>
      </w:r>
    </w:p>
    <w:p w14:paraId="5C7E24DD" w14:textId="77777777" w:rsidR="005B3A71" w:rsidRDefault="005B3A71" w:rsidP="005B3A71">
      <w:pPr>
        <w:autoSpaceDE w:val="0"/>
        <w:autoSpaceDN w:val="0"/>
        <w:adjustRightInd w:val="0"/>
        <w:spacing w:after="0"/>
        <w:jc w:val="both"/>
        <w:rPr>
          <w:rFonts w:eastAsia="Calibri" w:cs="Times New Roman"/>
          <w:b/>
          <w:szCs w:val="24"/>
          <w:u w:val="single"/>
        </w:rPr>
      </w:pPr>
    </w:p>
    <w:p w14:paraId="6E590D19" w14:textId="77777777" w:rsidR="005B3A71" w:rsidRPr="00414785" w:rsidRDefault="005B3A71" w:rsidP="005B3A71">
      <w:pPr>
        <w:autoSpaceDE w:val="0"/>
        <w:autoSpaceDN w:val="0"/>
        <w:adjustRightInd w:val="0"/>
        <w:spacing w:after="0"/>
        <w:ind w:firstLine="720"/>
        <w:jc w:val="both"/>
        <w:rPr>
          <w:rFonts w:eastAsia="Calibri" w:cs="Times New Roman"/>
          <w:szCs w:val="24"/>
        </w:rPr>
      </w:pPr>
      <w:r>
        <w:rPr>
          <w:rFonts w:eastAsia="Calibri" w:cs="Times New Roman"/>
          <w:b/>
          <w:szCs w:val="24"/>
          <w:u w:val="single"/>
        </w:rPr>
        <w:t>The Notice indicates that operators who appear on either list but who do not make this required filing will: (1) have the earth station authorizations that appear in the lists terminated by operation of law; (2) have those authorizations terminated in the International Bureau Filing System; and (3) have their listed earth stations removed from the incumbent earth station list, thus forfeiting interference protection and the possibility of reimbursement for the costs of transitioning those earth station in the forthcoming C-band transition.</w:t>
      </w:r>
    </w:p>
    <w:p w14:paraId="6958579D" w14:textId="77777777" w:rsidR="005B3A71" w:rsidRDefault="005B3A71" w:rsidP="005B3A71">
      <w:pPr>
        <w:autoSpaceDE w:val="0"/>
        <w:autoSpaceDN w:val="0"/>
        <w:adjustRightInd w:val="0"/>
        <w:spacing w:after="0"/>
        <w:jc w:val="both"/>
        <w:rPr>
          <w:rFonts w:eastAsia="Calibri" w:cs="Times New Roman"/>
          <w:szCs w:val="24"/>
        </w:rPr>
      </w:pPr>
    </w:p>
    <w:p w14:paraId="7D2612A6" w14:textId="77777777" w:rsidR="005B3A71" w:rsidRDefault="005B3A71" w:rsidP="005B3A71">
      <w:pPr>
        <w:autoSpaceDE w:val="0"/>
        <w:autoSpaceDN w:val="0"/>
        <w:adjustRightInd w:val="0"/>
        <w:spacing w:after="0"/>
        <w:jc w:val="both"/>
        <w:rPr>
          <w:rFonts w:eastAsia="Calibri" w:cs="Times New Roman"/>
          <w:szCs w:val="24"/>
        </w:rPr>
      </w:pPr>
      <w:r>
        <w:rPr>
          <w:i/>
          <w:color w:val="2E74B5" w:themeColor="accent1" w:themeShade="BF"/>
          <w:szCs w:val="24"/>
        </w:rPr>
        <w:t>How Can I Check the Lists?</w:t>
      </w:r>
      <w:r>
        <w:rPr>
          <w:szCs w:val="24"/>
        </w:rPr>
        <w:t xml:space="preserve">  </w:t>
      </w:r>
      <w:r>
        <w:rPr>
          <w:rFonts w:eastAsia="Calibri" w:cs="Times New Roman"/>
          <w:szCs w:val="24"/>
        </w:rPr>
        <w:t>The lists are currently available as “</w:t>
      </w:r>
      <w:hyperlink r:id="rId13" w:history="1">
        <w:r w:rsidRPr="00F04592">
          <w:rPr>
            <w:rStyle w:val="Hyperlink"/>
            <w:rFonts w:eastAsia="Calibri" w:cs="Times New Roman"/>
            <w:szCs w:val="24"/>
          </w:rPr>
          <w:t>Attachment A</w:t>
        </w:r>
      </w:hyperlink>
      <w:r>
        <w:rPr>
          <w:rFonts w:eastAsia="Calibri" w:cs="Times New Roman"/>
          <w:szCs w:val="24"/>
        </w:rPr>
        <w:t>” (the “Inactive List”) and “</w:t>
      </w:r>
      <w:hyperlink r:id="rId14" w:history="1">
        <w:r w:rsidRPr="00F04592">
          <w:rPr>
            <w:rStyle w:val="Hyperlink"/>
            <w:rFonts w:eastAsia="Calibri" w:cs="Times New Roman"/>
            <w:szCs w:val="24"/>
          </w:rPr>
          <w:t>Attachment B</w:t>
        </w:r>
      </w:hyperlink>
      <w:r>
        <w:rPr>
          <w:rFonts w:eastAsia="Calibri" w:cs="Times New Roman"/>
          <w:szCs w:val="24"/>
        </w:rPr>
        <w:t xml:space="preserve">” (the “Unresponsive List”)—in either Microsoft Excel or PDF format—at the following link: </w:t>
      </w:r>
      <w:hyperlink r:id="rId15" w:history="1">
        <w:r w:rsidRPr="00F04592">
          <w:rPr>
            <w:rStyle w:val="Hyperlink"/>
            <w:rFonts w:eastAsia="Calibri" w:cs="Times New Roman"/>
            <w:szCs w:val="24"/>
          </w:rPr>
          <w:t>https://www.fcc.gov/document/ib-identifies-inactiveunresponsive-c-band-incumbent-earth-stations</w:t>
        </w:r>
      </w:hyperlink>
      <w:r>
        <w:rPr>
          <w:rFonts w:eastAsia="Calibri" w:cs="Times New Roman"/>
          <w:szCs w:val="24"/>
        </w:rPr>
        <w:t>.  Both lists are arranged in alphabetical order.  However, we recommend using several different search methods to confirm that none of your earth stations appears on the list(s), such as searching each list not just for your registrant/licensee name (the “ApplicantName” field), but also for you earth station’s call sign (the “Callsign” field) and registration number (the “FileNumber” field).</w:t>
      </w:r>
    </w:p>
    <w:p w14:paraId="38A66ABC" w14:textId="77777777" w:rsidR="005B3A71" w:rsidRDefault="005B3A71" w:rsidP="005B3A71">
      <w:pPr>
        <w:autoSpaceDE w:val="0"/>
        <w:autoSpaceDN w:val="0"/>
        <w:adjustRightInd w:val="0"/>
        <w:spacing w:after="0"/>
        <w:jc w:val="both"/>
        <w:rPr>
          <w:rFonts w:eastAsia="Calibri" w:cs="Times New Roman"/>
          <w:szCs w:val="24"/>
        </w:rPr>
      </w:pPr>
    </w:p>
    <w:p w14:paraId="63596EA9" w14:textId="77777777" w:rsidR="005B3A71" w:rsidRPr="002D3471" w:rsidRDefault="005B3A71" w:rsidP="005B3A71">
      <w:pPr>
        <w:autoSpaceDE w:val="0"/>
        <w:autoSpaceDN w:val="0"/>
        <w:adjustRightInd w:val="0"/>
        <w:spacing w:after="0"/>
        <w:jc w:val="both"/>
        <w:rPr>
          <w:rFonts w:eastAsia="Calibri" w:cs="Times New Roman"/>
          <w:szCs w:val="24"/>
        </w:rPr>
      </w:pPr>
      <w:r>
        <w:rPr>
          <w:i/>
          <w:color w:val="2E74B5" w:themeColor="accent1" w:themeShade="BF"/>
          <w:szCs w:val="24"/>
        </w:rPr>
        <w:t xml:space="preserve">What if One or More of My Earth Stations </w:t>
      </w:r>
      <w:r w:rsidRPr="00A9193F">
        <w:rPr>
          <w:i/>
          <w:color w:val="2E74B5" w:themeColor="accent1" w:themeShade="BF"/>
          <w:szCs w:val="24"/>
          <w:u w:val="single"/>
        </w:rPr>
        <w:t>Incorrectly</w:t>
      </w:r>
      <w:r>
        <w:rPr>
          <w:i/>
          <w:color w:val="2E74B5" w:themeColor="accent1" w:themeShade="BF"/>
          <w:szCs w:val="24"/>
        </w:rPr>
        <w:t xml:space="preserve"> Appears on the Lists?</w:t>
      </w:r>
      <w:r>
        <w:rPr>
          <w:szCs w:val="24"/>
        </w:rPr>
        <w:t xml:space="preserve">  </w:t>
      </w:r>
      <w:r>
        <w:rPr>
          <w:rFonts w:eastAsia="Calibri" w:cs="Times New Roman"/>
          <w:szCs w:val="24"/>
        </w:rPr>
        <w:t>Again, per the Notice,</w:t>
      </w:r>
      <w:r w:rsidRPr="002D3471">
        <w:rPr>
          <w:rFonts w:eastAsia="Calibri" w:cs="Times New Roman"/>
          <w:szCs w:val="24"/>
        </w:rPr>
        <w:t xml:space="preserve"> no later than April 19, 2021, you must submit a filing with required information in the FCC’s IB</w:t>
      </w:r>
      <w:r>
        <w:rPr>
          <w:rFonts w:eastAsia="Calibri" w:cs="Times New Roman"/>
          <w:szCs w:val="24"/>
        </w:rPr>
        <w:t> </w:t>
      </w:r>
      <w:r w:rsidRPr="002D3471">
        <w:rPr>
          <w:rFonts w:eastAsia="Calibri" w:cs="Times New Roman"/>
          <w:szCs w:val="24"/>
        </w:rPr>
        <w:t xml:space="preserve">Docket No. 20-205. </w:t>
      </w:r>
      <w:r>
        <w:rPr>
          <w:rFonts w:eastAsia="Calibri" w:cs="Times New Roman"/>
          <w:szCs w:val="24"/>
        </w:rPr>
        <w:t xml:space="preserve"> The Notice indicates that such f</w:t>
      </w:r>
      <w:r w:rsidRPr="002D3471">
        <w:rPr>
          <w:rFonts w:eastAsia="Calibri" w:cs="Times New Roman"/>
          <w:szCs w:val="24"/>
        </w:rPr>
        <w:t>iling must include at least the following information:</w:t>
      </w:r>
    </w:p>
    <w:p w14:paraId="78F7245B" w14:textId="77777777" w:rsidR="005B3A71" w:rsidRPr="002D3471" w:rsidRDefault="005B3A71" w:rsidP="005B3A71">
      <w:pPr>
        <w:autoSpaceDE w:val="0"/>
        <w:autoSpaceDN w:val="0"/>
        <w:adjustRightInd w:val="0"/>
        <w:spacing w:after="0"/>
        <w:jc w:val="both"/>
        <w:rPr>
          <w:rFonts w:eastAsia="Calibri" w:cs="Times New Roman"/>
          <w:szCs w:val="24"/>
        </w:rPr>
      </w:pPr>
    </w:p>
    <w:p w14:paraId="3C3AA488" w14:textId="77777777" w:rsidR="005B3A71" w:rsidRPr="002D3471" w:rsidRDefault="005B3A71" w:rsidP="005B3A71">
      <w:pPr>
        <w:pStyle w:val="ListParagraph"/>
        <w:numPr>
          <w:ilvl w:val="0"/>
          <w:numId w:val="14"/>
        </w:numPr>
        <w:autoSpaceDE w:val="0"/>
        <w:autoSpaceDN w:val="0"/>
        <w:adjustRightInd w:val="0"/>
        <w:spacing w:after="0"/>
        <w:jc w:val="both"/>
        <w:rPr>
          <w:rFonts w:ascii="Times New Roman" w:eastAsia="Calibri" w:hAnsi="Times New Roman" w:cs="Times New Roman"/>
          <w:sz w:val="24"/>
          <w:szCs w:val="24"/>
        </w:rPr>
      </w:pPr>
      <w:r w:rsidRPr="002D3471">
        <w:rPr>
          <w:rFonts w:ascii="Times New Roman" w:eastAsia="Calibri" w:hAnsi="Times New Roman" w:cs="Times New Roman"/>
          <w:sz w:val="24"/>
          <w:szCs w:val="24"/>
        </w:rPr>
        <w:t>A statement that your earth station antenna(s) that appear</w:t>
      </w:r>
      <w:r>
        <w:rPr>
          <w:rFonts w:ascii="Times New Roman" w:eastAsia="Calibri" w:hAnsi="Times New Roman" w:cs="Times New Roman"/>
          <w:sz w:val="24"/>
          <w:szCs w:val="24"/>
        </w:rPr>
        <w:t>s</w:t>
      </w:r>
      <w:r w:rsidRPr="002D3471">
        <w:rPr>
          <w:rFonts w:ascii="Times New Roman" w:eastAsia="Calibri" w:hAnsi="Times New Roman" w:cs="Times New Roman"/>
          <w:sz w:val="24"/>
          <w:szCs w:val="24"/>
        </w:rPr>
        <w:t xml:space="preserve"> on the list remain</w:t>
      </w:r>
      <w:r>
        <w:rPr>
          <w:rFonts w:ascii="Times New Roman" w:eastAsia="Calibri" w:hAnsi="Times New Roman" w:cs="Times New Roman"/>
          <w:sz w:val="24"/>
          <w:szCs w:val="24"/>
        </w:rPr>
        <w:t>s</w:t>
      </w:r>
      <w:r w:rsidRPr="002D3471">
        <w:rPr>
          <w:rFonts w:ascii="Times New Roman" w:eastAsia="Calibri" w:hAnsi="Times New Roman" w:cs="Times New Roman"/>
          <w:sz w:val="24"/>
          <w:szCs w:val="24"/>
        </w:rPr>
        <w:t xml:space="preserve"> operational.</w:t>
      </w:r>
    </w:p>
    <w:p w14:paraId="30C6B76B" w14:textId="77777777" w:rsidR="005B3A71" w:rsidRDefault="005B3A71" w:rsidP="005B3A71">
      <w:pPr>
        <w:pStyle w:val="ListParagraph"/>
        <w:numPr>
          <w:ilvl w:val="0"/>
          <w:numId w:val="14"/>
        </w:numPr>
        <w:autoSpaceDE w:val="0"/>
        <w:autoSpaceDN w:val="0"/>
        <w:adjustRightInd w:val="0"/>
        <w:spacing w:after="0"/>
        <w:jc w:val="both"/>
        <w:rPr>
          <w:rFonts w:ascii="Times New Roman" w:eastAsia="Calibri" w:hAnsi="Times New Roman" w:cs="Times New Roman"/>
          <w:sz w:val="24"/>
          <w:szCs w:val="24"/>
        </w:rPr>
      </w:pPr>
      <w:r w:rsidRPr="002D3471">
        <w:rPr>
          <w:rFonts w:ascii="Times New Roman" w:eastAsia="Calibri" w:hAnsi="Times New Roman" w:cs="Times New Roman"/>
          <w:sz w:val="24"/>
          <w:szCs w:val="24"/>
        </w:rPr>
        <w:t xml:space="preserve">For </w:t>
      </w:r>
      <w:r>
        <w:rPr>
          <w:rFonts w:ascii="Times New Roman" w:eastAsia="Calibri" w:hAnsi="Times New Roman" w:cs="Times New Roman"/>
          <w:sz w:val="24"/>
          <w:szCs w:val="24"/>
        </w:rPr>
        <w:t xml:space="preserve">those operators who appear on the “Unresponsive List”: </w:t>
      </w:r>
    </w:p>
    <w:p w14:paraId="52775EAF" w14:textId="77777777" w:rsidR="005B3A71" w:rsidRDefault="005B3A71" w:rsidP="005B3A71">
      <w:pPr>
        <w:pStyle w:val="ListParagraph"/>
        <w:numPr>
          <w:ilvl w:val="1"/>
          <w:numId w:val="14"/>
        </w:num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 statement that your facilities intend to participate in the C-band transition.</w:t>
      </w:r>
    </w:p>
    <w:p w14:paraId="48783F1C" w14:textId="77777777" w:rsidR="005B3A71" w:rsidRDefault="005B3A71" w:rsidP="005B3A71">
      <w:pPr>
        <w:pStyle w:val="ListParagraph"/>
        <w:numPr>
          <w:ilvl w:val="1"/>
          <w:numId w:val="14"/>
        </w:num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 statement identifying the satellite from which each of your earth station antennas that appears on the list receives service.</w:t>
      </w:r>
    </w:p>
    <w:p w14:paraId="4819DF5A" w14:textId="77777777" w:rsidR="005B3A71" w:rsidRDefault="005B3A71" w:rsidP="005B3A71">
      <w:pPr>
        <w:autoSpaceDE w:val="0"/>
        <w:autoSpaceDN w:val="0"/>
        <w:adjustRightInd w:val="0"/>
        <w:spacing w:after="0"/>
        <w:jc w:val="both"/>
        <w:rPr>
          <w:rFonts w:eastAsia="Calibri" w:cs="Times New Roman"/>
          <w:szCs w:val="24"/>
        </w:rPr>
      </w:pPr>
    </w:p>
    <w:p w14:paraId="239A52CB" w14:textId="77777777" w:rsidR="005B3A71" w:rsidRPr="00423C42" w:rsidRDefault="005B3A71" w:rsidP="005B3A71">
      <w:pPr>
        <w:autoSpaceDE w:val="0"/>
        <w:autoSpaceDN w:val="0"/>
        <w:adjustRightInd w:val="0"/>
        <w:spacing w:after="0"/>
        <w:jc w:val="both"/>
        <w:rPr>
          <w:szCs w:val="24"/>
        </w:rPr>
      </w:pPr>
      <w:r>
        <w:rPr>
          <w:i/>
          <w:color w:val="2E74B5" w:themeColor="accent1" w:themeShade="BF"/>
          <w:szCs w:val="24"/>
        </w:rPr>
        <w:t xml:space="preserve">What if One or More of My Earth Stations Appear(s) on the Inactive List, and I Agree that the “Inactive” Classification is </w:t>
      </w:r>
      <w:r w:rsidRPr="00A9193F">
        <w:rPr>
          <w:i/>
          <w:color w:val="2E74B5" w:themeColor="accent1" w:themeShade="BF"/>
          <w:szCs w:val="24"/>
          <w:u w:val="single"/>
        </w:rPr>
        <w:t>Correct</w:t>
      </w:r>
      <w:r>
        <w:rPr>
          <w:i/>
          <w:color w:val="2E74B5" w:themeColor="accent1" w:themeShade="BF"/>
          <w:szCs w:val="24"/>
        </w:rPr>
        <w:t>?</w:t>
      </w:r>
      <w:r>
        <w:rPr>
          <w:szCs w:val="24"/>
        </w:rPr>
        <w:t xml:space="preserve">  First, double-check that you agree with the “Inactive” classification.  </w:t>
      </w:r>
      <w:r>
        <w:rPr>
          <w:b/>
          <w:szCs w:val="24"/>
          <w:u w:val="single"/>
        </w:rPr>
        <w:t>For the rest of this paragraph to apply to you, you must be an earth station operator</w:t>
      </w:r>
      <w:r w:rsidRPr="002D3471">
        <w:rPr>
          <w:b/>
          <w:szCs w:val="24"/>
          <w:u w:val="single"/>
        </w:rPr>
        <w:t xml:space="preserve"> with </w:t>
      </w:r>
      <w:r>
        <w:rPr>
          <w:b/>
          <w:szCs w:val="24"/>
          <w:u w:val="single"/>
        </w:rPr>
        <w:t>an earth station</w:t>
      </w:r>
      <w:r w:rsidRPr="002D3471">
        <w:rPr>
          <w:b/>
          <w:szCs w:val="24"/>
          <w:u w:val="single"/>
        </w:rPr>
        <w:t xml:space="preserve"> that </w:t>
      </w:r>
      <w:r>
        <w:rPr>
          <w:b/>
          <w:szCs w:val="24"/>
          <w:u w:val="single"/>
        </w:rPr>
        <w:t xml:space="preserve">(a) </w:t>
      </w:r>
      <w:r w:rsidRPr="002D3471">
        <w:rPr>
          <w:b/>
          <w:szCs w:val="24"/>
          <w:u w:val="single"/>
        </w:rPr>
        <w:t>appear</w:t>
      </w:r>
      <w:r>
        <w:rPr>
          <w:b/>
          <w:szCs w:val="24"/>
          <w:u w:val="single"/>
        </w:rPr>
        <w:t>s</w:t>
      </w:r>
      <w:r w:rsidRPr="002D3471">
        <w:rPr>
          <w:b/>
          <w:szCs w:val="24"/>
          <w:u w:val="single"/>
        </w:rPr>
        <w:t xml:space="preserve"> on the “Inactive List</w:t>
      </w:r>
      <w:r>
        <w:rPr>
          <w:b/>
          <w:szCs w:val="24"/>
          <w:u w:val="single"/>
        </w:rPr>
        <w:t>,</w:t>
      </w:r>
      <w:r w:rsidRPr="002D3471">
        <w:rPr>
          <w:b/>
          <w:szCs w:val="24"/>
          <w:u w:val="single"/>
        </w:rPr>
        <w:t>”</w:t>
      </w:r>
      <w:r>
        <w:rPr>
          <w:b/>
          <w:szCs w:val="24"/>
          <w:u w:val="single"/>
        </w:rPr>
        <w:t xml:space="preserve"> (b) has</w:t>
      </w:r>
      <w:r w:rsidRPr="002D3471">
        <w:rPr>
          <w:b/>
          <w:szCs w:val="24"/>
          <w:u w:val="single"/>
        </w:rPr>
        <w:t>, in fact, ceased operations</w:t>
      </w:r>
      <w:r>
        <w:rPr>
          <w:b/>
          <w:szCs w:val="24"/>
          <w:u w:val="single"/>
        </w:rPr>
        <w:t>,</w:t>
      </w:r>
      <w:r w:rsidRPr="002D3471">
        <w:rPr>
          <w:b/>
          <w:szCs w:val="24"/>
          <w:u w:val="single"/>
        </w:rPr>
        <w:t xml:space="preserve"> and</w:t>
      </w:r>
      <w:r>
        <w:rPr>
          <w:b/>
          <w:szCs w:val="24"/>
          <w:u w:val="single"/>
        </w:rPr>
        <w:t xml:space="preserve"> (c)</w:t>
      </w:r>
      <w:r w:rsidRPr="002D3471">
        <w:rPr>
          <w:b/>
          <w:szCs w:val="24"/>
          <w:u w:val="single"/>
        </w:rPr>
        <w:t xml:space="preserve"> will continue to be non-operational for more than 90 days.</w:t>
      </w:r>
      <w:r>
        <w:rPr>
          <w:szCs w:val="24"/>
        </w:rPr>
        <w:t xml:space="preserve">  If you’ve double-checked, and agree that this extremely limited circumstance applies to you, then the Notice directs you to make a filing in the International Bureau Filing System to remove those antennas as “no longer operational,” as required by FCC rule.  However, we strongly recommend that you contact your communications counsel before making such a filing.</w:t>
      </w:r>
    </w:p>
    <w:p w14:paraId="7266FA14" w14:textId="77777777" w:rsidR="005B3A71" w:rsidRDefault="005B3A71" w:rsidP="005B3A71">
      <w:pPr>
        <w:tabs>
          <w:tab w:val="left" w:pos="720"/>
        </w:tabs>
        <w:autoSpaceDE w:val="0"/>
        <w:autoSpaceDN w:val="0"/>
        <w:adjustRightInd w:val="0"/>
        <w:spacing w:after="0"/>
        <w:contextualSpacing/>
        <w:jc w:val="center"/>
        <w:rPr>
          <w:rFonts w:eastAsia="Calibri" w:cs="Times New Roman"/>
          <w:color w:val="2E74B5"/>
          <w:szCs w:val="24"/>
        </w:rPr>
      </w:pPr>
      <w:r w:rsidRPr="005101E8">
        <w:rPr>
          <w:rFonts w:eastAsia="Calibri" w:cs="Times New Roman"/>
          <w:color w:val="2E74B5"/>
          <w:szCs w:val="24"/>
        </w:rPr>
        <w:t>___________________________</w:t>
      </w:r>
    </w:p>
    <w:p w14:paraId="468729B3" w14:textId="77777777" w:rsidR="005B3A71" w:rsidRDefault="005B3A71" w:rsidP="00A12347">
      <w:pPr>
        <w:tabs>
          <w:tab w:val="left" w:pos="720"/>
        </w:tabs>
        <w:autoSpaceDE w:val="0"/>
        <w:autoSpaceDN w:val="0"/>
        <w:adjustRightInd w:val="0"/>
        <w:spacing w:after="0"/>
        <w:contextualSpacing/>
        <w:rPr>
          <w:rFonts w:eastAsia="Calibri" w:cs="Times New Roman"/>
          <w:color w:val="2E74B5"/>
          <w:szCs w:val="24"/>
        </w:rPr>
      </w:pPr>
    </w:p>
    <w:bookmarkStart w:id="35" w:name="_FCC_Issues_Enforcement"/>
    <w:bookmarkStart w:id="36" w:name="_Repack_Status_Update;"/>
    <w:bookmarkStart w:id="37" w:name="_FCC_Considering_Changes"/>
    <w:bookmarkEnd w:id="35"/>
    <w:bookmarkEnd w:id="36"/>
    <w:bookmarkEnd w:id="37"/>
    <w:p w14:paraId="332C98FA" w14:textId="5ECF8AA9" w:rsidR="00A12347" w:rsidRPr="004F4266" w:rsidRDefault="004F4266" w:rsidP="000774AE">
      <w:pPr>
        <w:pStyle w:val="Heading1"/>
        <w:rPr>
          <w:sz w:val="32"/>
        </w:rPr>
      </w:pPr>
      <w:r w:rsidRPr="004F4266">
        <w:rPr>
          <w:rFonts w:eastAsia="Times New Roman"/>
          <w:sz w:val="32"/>
        </w:rPr>
        <w:fldChar w:fldCharType="begin"/>
      </w:r>
      <w:r w:rsidRPr="004F4266">
        <w:rPr>
          <w:rFonts w:eastAsia="Times New Roman"/>
          <w:sz w:val="32"/>
        </w:rPr>
        <w:instrText xml:space="preserve"> HYPERLINK \l "_Repack_Status_Update;" </w:instrText>
      </w:r>
      <w:r w:rsidRPr="004F4266">
        <w:rPr>
          <w:rFonts w:eastAsia="Times New Roman"/>
          <w:sz w:val="32"/>
        </w:rPr>
        <w:fldChar w:fldCharType="separate"/>
      </w:r>
      <w:r w:rsidRPr="004F4266">
        <w:rPr>
          <w:rStyle w:val="Hyperlink"/>
          <w:rFonts w:eastAsia="Times New Roman"/>
          <w:sz w:val="32"/>
          <w:u w:val="none"/>
        </w:rPr>
        <w:t>FCC Cons</w:t>
      </w:r>
      <w:r w:rsidR="00B20581">
        <w:rPr>
          <w:rStyle w:val="Hyperlink"/>
          <w:rFonts w:eastAsia="Times New Roman"/>
          <w:sz w:val="32"/>
          <w:u w:val="none"/>
        </w:rPr>
        <w:t>idering Changes to EAS System Per</w:t>
      </w:r>
      <w:r w:rsidRPr="004F4266">
        <w:rPr>
          <w:rStyle w:val="Hyperlink"/>
          <w:rFonts w:eastAsia="Times New Roman"/>
          <w:sz w:val="32"/>
          <w:u w:val="none"/>
        </w:rPr>
        <w:t xml:space="preserve"> Congressional Command</w:t>
      </w:r>
      <w:r w:rsidRPr="004F4266">
        <w:rPr>
          <w:rFonts w:eastAsia="Times New Roman"/>
          <w:sz w:val="32"/>
        </w:rPr>
        <w:fldChar w:fldCharType="end"/>
      </w:r>
    </w:p>
    <w:p w14:paraId="50F56F8F" w14:textId="11FFC724" w:rsidR="00A12347" w:rsidRDefault="00A12347" w:rsidP="000774AE">
      <w:pPr>
        <w:keepNext/>
        <w:keepLines/>
        <w:autoSpaceDE w:val="0"/>
        <w:autoSpaceDN w:val="0"/>
        <w:adjustRightInd w:val="0"/>
        <w:spacing w:after="0"/>
        <w:ind w:firstLine="720"/>
        <w:jc w:val="both"/>
        <w:rPr>
          <w:rFonts w:eastAsia="Calibri" w:cs="Times New Roman"/>
          <w:szCs w:val="24"/>
        </w:rPr>
      </w:pPr>
    </w:p>
    <w:p w14:paraId="3D1E9BF3" w14:textId="6C19217C" w:rsidR="00156419" w:rsidRDefault="00E56F1C" w:rsidP="000774AE">
      <w:pPr>
        <w:keepNext/>
        <w:keepLines/>
        <w:spacing w:after="0"/>
        <w:ind w:firstLine="720"/>
        <w:jc w:val="both"/>
        <w:rPr>
          <w:rFonts w:cs="Times New Roman"/>
          <w:szCs w:val="24"/>
        </w:rPr>
      </w:pPr>
      <w:r>
        <w:t xml:space="preserve">The FCC recently issued a </w:t>
      </w:r>
      <w:hyperlink r:id="rId16" w:history="1">
        <w:r w:rsidRPr="00E56F1C">
          <w:rPr>
            <w:rStyle w:val="Hyperlink"/>
          </w:rPr>
          <w:t>Notice of Proposed Rulemaking and Notice of Inquiry</w:t>
        </w:r>
      </w:hyperlink>
      <w:r>
        <w:t xml:space="preserve"> (separately, the “NPRM” and “NOI”; collectively, the “Notices”) “</w:t>
      </w:r>
      <w:r w:rsidRPr="00E56F1C">
        <w:t>to explore opportunities to improve the way the public receives emergency alerts on their mobile phones, televisions, and radios.</w:t>
      </w:r>
      <w:r>
        <w:t xml:space="preserve">”  Among the various issues the Notices raise, several </w:t>
      </w:r>
      <w:r w:rsidR="006E2B9A">
        <w:t xml:space="preserve">address </w:t>
      </w:r>
      <w:r w:rsidR="00E20B86">
        <w:t xml:space="preserve">Congressional commands </w:t>
      </w:r>
      <w:r w:rsidR="00847579">
        <w:t xml:space="preserve">issued in legislation </w:t>
      </w:r>
      <w:r w:rsidR="00E20B86">
        <w:t xml:space="preserve">earlier this year, including for the FCC to adopt rules to ensure that mobile devices cannot opt out of receiving </w:t>
      </w:r>
      <w:r w:rsidR="00CE386A">
        <w:t>W</w:t>
      </w:r>
      <w:r w:rsidR="00E20B86">
        <w:t xml:space="preserve">ireless </w:t>
      </w:r>
      <w:r w:rsidR="00CE386A">
        <w:t xml:space="preserve">Emergency Alert System (“WEA”) alerts from </w:t>
      </w:r>
      <w:r w:rsidR="006E2B9A">
        <w:t xml:space="preserve">the Administrator of </w:t>
      </w:r>
      <w:r w:rsidR="00CE386A">
        <w:t>FEMA and to seek comment on whether it is technically feasible to deliver Emergency Alert System (“EAS”) alerts through the internet, including through streaming services</w:t>
      </w:r>
      <w:r w:rsidR="00192358" w:rsidRPr="00192358">
        <w:rPr>
          <w:rFonts w:cs="Times New Roman"/>
          <w:szCs w:val="24"/>
        </w:rPr>
        <w:t>.</w:t>
      </w:r>
    </w:p>
    <w:p w14:paraId="27A54562" w14:textId="585ABD76" w:rsidR="005F1B06" w:rsidRDefault="005F1B06" w:rsidP="004A3813">
      <w:pPr>
        <w:spacing w:after="0"/>
        <w:ind w:firstLine="720"/>
        <w:jc w:val="both"/>
        <w:rPr>
          <w:rFonts w:cs="Times New Roman"/>
          <w:szCs w:val="24"/>
        </w:rPr>
      </w:pPr>
    </w:p>
    <w:p w14:paraId="6AC07293" w14:textId="310A8812" w:rsidR="0067546B" w:rsidRDefault="00B75FDD" w:rsidP="004A3813">
      <w:pPr>
        <w:spacing w:after="0"/>
        <w:ind w:firstLine="720"/>
        <w:jc w:val="both"/>
        <w:rPr>
          <w:rFonts w:cs="Times New Roman"/>
          <w:szCs w:val="24"/>
        </w:rPr>
      </w:pPr>
      <w:r>
        <w:rPr>
          <w:rFonts w:cs="Times New Roman"/>
          <w:szCs w:val="24"/>
        </w:rPr>
        <w:t>T</w:t>
      </w:r>
      <w:r w:rsidR="007462BF">
        <w:rPr>
          <w:rFonts w:cs="Times New Roman"/>
          <w:szCs w:val="24"/>
        </w:rPr>
        <w:t xml:space="preserve">he NPRM and NOI raise too many </w:t>
      </w:r>
      <w:r w:rsidR="00FE3AD8">
        <w:rPr>
          <w:rFonts w:cs="Times New Roman"/>
          <w:szCs w:val="24"/>
        </w:rPr>
        <w:t xml:space="preserve">technical </w:t>
      </w:r>
      <w:r w:rsidR="007462BF">
        <w:rPr>
          <w:rFonts w:cs="Times New Roman"/>
          <w:szCs w:val="24"/>
        </w:rPr>
        <w:t>issues to exhaustively c</w:t>
      </w:r>
      <w:r>
        <w:rPr>
          <w:rFonts w:cs="Times New Roman"/>
          <w:szCs w:val="24"/>
        </w:rPr>
        <w:t>atalog in this legal memorandum;</w:t>
      </w:r>
      <w:r w:rsidR="007462BF">
        <w:rPr>
          <w:rFonts w:cs="Times New Roman"/>
          <w:szCs w:val="24"/>
        </w:rPr>
        <w:t xml:space="preserve"> the items that are likely </w:t>
      </w:r>
      <w:r w:rsidR="002C51D7">
        <w:rPr>
          <w:rFonts w:cs="Times New Roman"/>
          <w:szCs w:val="24"/>
        </w:rPr>
        <w:t xml:space="preserve">to be </w:t>
      </w:r>
      <w:r w:rsidR="007462BF">
        <w:rPr>
          <w:rFonts w:cs="Times New Roman"/>
          <w:szCs w:val="24"/>
        </w:rPr>
        <w:t xml:space="preserve">of greatest interest to broadcasters are </w:t>
      </w:r>
      <w:r w:rsidR="00FE3AD8">
        <w:rPr>
          <w:rFonts w:cs="Times New Roman"/>
          <w:szCs w:val="24"/>
        </w:rPr>
        <w:t xml:space="preserve">those related to </w:t>
      </w:r>
      <w:r>
        <w:rPr>
          <w:rFonts w:cs="Times New Roman"/>
          <w:szCs w:val="24"/>
        </w:rPr>
        <w:t xml:space="preserve">(1) </w:t>
      </w:r>
      <w:r w:rsidR="0067546B">
        <w:rPr>
          <w:rFonts w:cs="Times New Roman"/>
          <w:szCs w:val="24"/>
        </w:rPr>
        <w:t xml:space="preserve">“false” EAS alerts and </w:t>
      </w:r>
      <w:r>
        <w:rPr>
          <w:rFonts w:cs="Times New Roman"/>
          <w:szCs w:val="24"/>
        </w:rPr>
        <w:t xml:space="preserve">(2) </w:t>
      </w:r>
      <w:r w:rsidR="00FE3AD8">
        <w:rPr>
          <w:rFonts w:cs="Times New Roman"/>
          <w:szCs w:val="24"/>
        </w:rPr>
        <w:t xml:space="preserve">the feasibility of deploying EAS through the internet.  </w:t>
      </w:r>
      <w:r w:rsidR="0067546B">
        <w:rPr>
          <w:rFonts w:cs="Times New Roman"/>
          <w:szCs w:val="24"/>
        </w:rPr>
        <w:t>Insofar as “false” EAS alerts are concerned, the NPRM proposes adopting rules that would permit F</w:t>
      </w:r>
      <w:r w:rsidR="00546B9D">
        <w:rPr>
          <w:rFonts w:cs="Times New Roman"/>
          <w:szCs w:val="24"/>
        </w:rPr>
        <w:t>EMA and</w:t>
      </w:r>
      <w:r w:rsidR="009C54B7">
        <w:rPr>
          <w:rFonts w:cs="Times New Roman"/>
          <w:szCs w:val="24"/>
        </w:rPr>
        <w:t xml:space="preserve"> state, tribal, local, and</w:t>
      </w:r>
      <w:r w:rsidR="0067546B">
        <w:rPr>
          <w:rFonts w:cs="Times New Roman"/>
          <w:szCs w:val="24"/>
        </w:rPr>
        <w:t xml:space="preserve"> territorial governments to notify the FCC when a “false” EAS (or WEA) alert is transmitted.</w:t>
      </w:r>
      <w:r w:rsidR="0067546B" w:rsidRPr="0067546B">
        <w:rPr>
          <w:rFonts w:cs="Times New Roman"/>
          <w:szCs w:val="24"/>
        </w:rPr>
        <w:t xml:space="preserve"> </w:t>
      </w:r>
      <w:r w:rsidR="0067546B">
        <w:rPr>
          <w:rFonts w:cs="Times New Roman"/>
          <w:szCs w:val="24"/>
        </w:rPr>
        <w:t xml:space="preserve"> This </w:t>
      </w:r>
      <w:r w:rsidR="002C51D7">
        <w:rPr>
          <w:rFonts w:cs="Times New Roman"/>
          <w:szCs w:val="24"/>
        </w:rPr>
        <w:t>new, permissive governmental reporting rule</w:t>
      </w:r>
      <w:r>
        <w:rPr>
          <w:rFonts w:cs="Times New Roman"/>
          <w:szCs w:val="24"/>
        </w:rPr>
        <w:t>, if ultimately adopted,</w:t>
      </w:r>
      <w:r w:rsidR="002C51D7">
        <w:rPr>
          <w:rFonts w:cs="Times New Roman"/>
          <w:szCs w:val="24"/>
        </w:rPr>
        <w:t xml:space="preserve"> </w:t>
      </w:r>
      <w:r w:rsidR="0067546B">
        <w:rPr>
          <w:rFonts w:cs="Times New Roman"/>
          <w:szCs w:val="24"/>
        </w:rPr>
        <w:t>would supplement the existing FCC rule</w:t>
      </w:r>
      <w:r w:rsidR="002C51D7">
        <w:rPr>
          <w:rFonts w:cs="Times New Roman"/>
          <w:szCs w:val="24"/>
        </w:rPr>
        <w:t xml:space="preserve"> </w:t>
      </w:r>
      <w:r w:rsidR="0067546B">
        <w:rPr>
          <w:rFonts w:cs="Times New Roman"/>
          <w:szCs w:val="24"/>
        </w:rPr>
        <w:t xml:space="preserve">that </w:t>
      </w:r>
      <w:r w:rsidR="0067546B" w:rsidRPr="002C51D7">
        <w:rPr>
          <w:rFonts w:cs="Times New Roman"/>
          <w:szCs w:val="24"/>
          <w:u w:val="single"/>
        </w:rPr>
        <w:t>requires</w:t>
      </w:r>
      <w:r w:rsidR="0067546B">
        <w:rPr>
          <w:rFonts w:cs="Times New Roman"/>
          <w:szCs w:val="24"/>
        </w:rPr>
        <w:t xml:space="preserve"> broadcasters (and all other </w:t>
      </w:r>
      <w:r w:rsidR="00FC346E">
        <w:rPr>
          <w:rFonts w:cs="Times New Roman"/>
          <w:szCs w:val="24"/>
        </w:rPr>
        <w:t>“</w:t>
      </w:r>
      <w:r w:rsidR="0067546B">
        <w:rPr>
          <w:rFonts w:cs="Times New Roman"/>
          <w:szCs w:val="24"/>
        </w:rPr>
        <w:t>EAS Participants</w:t>
      </w:r>
      <w:r w:rsidR="00FC346E">
        <w:rPr>
          <w:rFonts w:cs="Times New Roman"/>
          <w:szCs w:val="24"/>
        </w:rPr>
        <w:t>”</w:t>
      </w:r>
      <w:r w:rsidR="0067546B">
        <w:rPr>
          <w:rFonts w:cs="Times New Roman"/>
          <w:szCs w:val="24"/>
        </w:rPr>
        <w:t>) to report “false” EAS alerts to the FCC Operations Center at FCCOPS@fcc.gov.</w:t>
      </w:r>
      <w:r w:rsidR="0067546B" w:rsidRPr="0067546B">
        <w:rPr>
          <w:rFonts w:cs="Times New Roman"/>
          <w:szCs w:val="24"/>
        </w:rPr>
        <w:t xml:space="preserve"> </w:t>
      </w:r>
      <w:r w:rsidR="0067546B">
        <w:rPr>
          <w:rFonts w:cs="Times New Roman"/>
          <w:szCs w:val="24"/>
        </w:rPr>
        <w:t xml:space="preserve"> </w:t>
      </w:r>
      <w:r w:rsidR="002C51D7">
        <w:rPr>
          <w:rFonts w:cs="Times New Roman"/>
          <w:szCs w:val="24"/>
        </w:rPr>
        <w:t xml:space="preserve">Relatedly, the NPRM notes that neither the FCC’s rules nor relevant </w:t>
      </w:r>
      <w:r w:rsidR="00FC346E">
        <w:rPr>
          <w:rFonts w:cs="Times New Roman"/>
          <w:szCs w:val="24"/>
        </w:rPr>
        <w:t>legislation define</w:t>
      </w:r>
      <w:r w:rsidR="002C51D7">
        <w:rPr>
          <w:rFonts w:cs="Times New Roman"/>
          <w:szCs w:val="24"/>
        </w:rPr>
        <w:t xml:space="preserve"> what, precisely, constitutes a “false” EAS alert</w:t>
      </w:r>
      <w:r w:rsidR="00FC346E">
        <w:rPr>
          <w:rFonts w:cs="Times New Roman"/>
          <w:szCs w:val="24"/>
        </w:rPr>
        <w:t xml:space="preserve"> for purposes of the reporting requirements</w:t>
      </w:r>
      <w:r w:rsidR="002C51D7">
        <w:rPr>
          <w:rFonts w:cs="Times New Roman"/>
          <w:szCs w:val="24"/>
        </w:rPr>
        <w:t xml:space="preserve">, and therefore seeks comment on whether and/or how to define </w:t>
      </w:r>
      <w:r w:rsidR="00FC346E">
        <w:rPr>
          <w:rFonts w:cs="Times New Roman"/>
          <w:szCs w:val="24"/>
        </w:rPr>
        <w:t>such alerts</w:t>
      </w:r>
      <w:r w:rsidR="0067546B" w:rsidRPr="0067546B">
        <w:rPr>
          <w:rFonts w:cs="Times New Roman"/>
          <w:szCs w:val="24"/>
        </w:rPr>
        <w:t>.</w:t>
      </w:r>
    </w:p>
    <w:p w14:paraId="7DE9D50D" w14:textId="77777777" w:rsidR="0067546B" w:rsidRDefault="0067546B" w:rsidP="004A3813">
      <w:pPr>
        <w:spacing w:after="0"/>
        <w:ind w:firstLine="720"/>
        <w:jc w:val="both"/>
        <w:rPr>
          <w:rFonts w:cs="Times New Roman"/>
          <w:szCs w:val="24"/>
        </w:rPr>
      </w:pPr>
    </w:p>
    <w:p w14:paraId="2C233D79" w14:textId="7C448110" w:rsidR="005F1B06" w:rsidRDefault="000A2833" w:rsidP="004A3813">
      <w:pPr>
        <w:spacing w:after="0"/>
        <w:ind w:firstLine="720"/>
        <w:jc w:val="both"/>
        <w:rPr>
          <w:rFonts w:cs="Times New Roman"/>
          <w:szCs w:val="24"/>
        </w:rPr>
      </w:pPr>
      <w:r>
        <w:rPr>
          <w:rFonts w:cs="Times New Roman"/>
          <w:szCs w:val="24"/>
        </w:rPr>
        <w:t>Turning to the NOI’s internet-</w:t>
      </w:r>
      <w:r w:rsidR="00370EA3">
        <w:rPr>
          <w:rFonts w:cs="Times New Roman"/>
          <w:szCs w:val="24"/>
        </w:rPr>
        <w:t xml:space="preserve"> and streaming-</w:t>
      </w:r>
      <w:r>
        <w:rPr>
          <w:rFonts w:cs="Times New Roman"/>
          <w:szCs w:val="24"/>
        </w:rPr>
        <w:t xml:space="preserve">specific </w:t>
      </w:r>
      <w:r w:rsidR="00370EA3">
        <w:rPr>
          <w:rFonts w:cs="Times New Roman"/>
          <w:szCs w:val="24"/>
        </w:rPr>
        <w:t>inquiries</w:t>
      </w:r>
      <w:r w:rsidR="006523D5">
        <w:rPr>
          <w:rFonts w:cs="Times New Roman"/>
          <w:szCs w:val="24"/>
        </w:rPr>
        <w:t xml:space="preserve">, the </w:t>
      </w:r>
      <w:r>
        <w:rPr>
          <w:rFonts w:cs="Times New Roman"/>
          <w:szCs w:val="24"/>
        </w:rPr>
        <w:t xml:space="preserve">FCC </w:t>
      </w:r>
      <w:r w:rsidR="006523D5">
        <w:rPr>
          <w:rFonts w:cs="Times New Roman"/>
          <w:szCs w:val="24"/>
        </w:rPr>
        <w:t>requests comment on an appropriate definition of “streaming” services, including whether to adopt the current definition provided by the 3rd</w:t>
      </w:r>
      <w:r w:rsidR="00B75FDD">
        <w:rPr>
          <w:rFonts w:cs="Times New Roman"/>
          <w:szCs w:val="24"/>
        </w:rPr>
        <w:t xml:space="preserve"> Generation Partnership Project, or 3GPP</w:t>
      </w:r>
      <w:r w:rsidR="006523D5">
        <w:rPr>
          <w:rFonts w:cs="Times New Roman"/>
          <w:szCs w:val="24"/>
        </w:rPr>
        <w:t>: “</w:t>
      </w:r>
      <w:r w:rsidR="006523D5" w:rsidRPr="006523D5">
        <w:rPr>
          <w:rFonts w:cs="Times New Roman"/>
          <w:szCs w:val="24"/>
        </w:rPr>
        <w:t>the ability of a</w:t>
      </w:r>
      <w:r w:rsidR="00B75FDD">
        <w:rPr>
          <w:rFonts w:cs="Times New Roman"/>
          <w:szCs w:val="24"/>
        </w:rPr>
        <w:t>n application to play synchroniz</w:t>
      </w:r>
      <w:r w:rsidR="006523D5" w:rsidRPr="006523D5">
        <w:rPr>
          <w:rFonts w:cs="Times New Roman"/>
          <w:szCs w:val="24"/>
        </w:rPr>
        <w:t>ed media streams like audio and video streams in a continuous way while those streams are being transmitted to the client over a data network.</w:t>
      </w:r>
      <w:r w:rsidR="006523D5">
        <w:rPr>
          <w:rFonts w:cs="Times New Roman"/>
          <w:szCs w:val="24"/>
        </w:rPr>
        <w:t xml:space="preserve">”  </w:t>
      </w:r>
      <w:r w:rsidR="006C459E">
        <w:rPr>
          <w:rFonts w:cs="Times New Roman"/>
          <w:szCs w:val="24"/>
        </w:rPr>
        <w:t xml:space="preserve">The NOI also seeks comment on multiple technical issues </w:t>
      </w:r>
      <w:r w:rsidR="00370EA3">
        <w:rPr>
          <w:rFonts w:cs="Times New Roman"/>
          <w:szCs w:val="24"/>
        </w:rPr>
        <w:t xml:space="preserve">related to </w:t>
      </w:r>
      <w:r w:rsidR="006C459E">
        <w:rPr>
          <w:rFonts w:cs="Times New Roman"/>
          <w:szCs w:val="24"/>
        </w:rPr>
        <w:t xml:space="preserve">any potential deployment of EAS to streaming services, including how to implement safeguards to prevent </w:t>
      </w:r>
      <w:r w:rsidR="00370EA3">
        <w:rPr>
          <w:rFonts w:cs="Times New Roman"/>
          <w:szCs w:val="24"/>
        </w:rPr>
        <w:t xml:space="preserve">the transmission of </w:t>
      </w:r>
      <w:r w:rsidR="00B75FDD">
        <w:rPr>
          <w:rFonts w:cs="Times New Roman"/>
          <w:szCs w:val="24"/>
        </w:rPr>
        <w:t>inauthentic alerts;</w:t>
      </w:r>
      <w:r w:rsidR="006C459E">
        <w:rPr>
          <w:rFonts w:cs="Times New Roman"/>
          <w:szCs w:val="24"/>
        </w:rPr>
        <w:t xml:space="preserve"> </w:t>
      </w:r>
      <w:r w:rsidR="006C459E">
        <w:rPr>
          <w:rFonts w:cs="Times New Roman"/>
          <w:szCs w:val="24"/>
        </w:rPr>
        <w:lastRenderedPageBreak/>
        <w:t>how (if at all) streaming services could geographically differentiate between end-users so that only relevant EAS alert</w:t>
      </w:r>
      <w:r w:rsidR="00B75FDD">
        <w:rPr>
          <w:rFonts w:cs="Times New Roman"/>
          <w:szCs w:val="24"/>
        </w:rPr>
        <w:t>s are received;</w:t>
      </w:r>
      <w:r w:rsidR="006C459E">
        <w:rPr>
          <w:rFonts w:cs="Times New Roman"/>
          <w:szCs w:val="24"/>
        </w:rPr>
        <w:t xml:space="preserve"> and whether existing EAS hardware could interface with streaming services or if new, software-based EAS equipment would need to be implemented instead.</w:t>
      </w:r>
    </w:p>
    <w:p w14:paraId="2F108009" w14:textId="3AFC4EAA" w:rsidR="001259F3" w:rsidRDefault="001259F3" w:rsidP="004A3813">
      <w:pPr>
        <w:spacing w:after="0"/>
        <w:ind w:firstLine="720"/>
        <w:jc w:val="both"/>
        <w:rPr>
          <w:rFonts w:cs="Times New Roman"/>
          <w:szCs w:val="24"/>
        </w:rPr>
      </w:pPr>
    </w:p>
    <w:p w14:paraId="7C62986F" w14:textId="665CCB9C" w:rsidR="001259F3" w:rsidRPr="00156419" w:rsidRDefault="001259F3" w:rsidP="004A3813">
      <w:pPr>
        <w:spacing w:after="0"/>
        <w:ind w:firstLine="720"/>
        <w:jc w:val="both"/>
        <w:rPr>
          <w:rFonts w:cs="Times New Roman"/>
          <w:szCs w:val="24"/>
        </w:rPr>
      </w:pPr>
      <w:r>
        <w:rPr>
          <w:rFonts w:cs="Times New Roman"/>
          <w:szCs w:val="24"/>
        </w:rPr>
        <w:t>Comments on the NPRM are curr</w:t>
      </w:r>
      <w:r w:rsidR="00B75FDD">
        <w:rPr>
          <w:rFonts w:cs="Times New Roman"/>
          <w:szCs w:val="24"/>
        </w:rPr>
        <w:t>ently due April 20, with reply comments</w:t>
      </w:r>
      <w:r>
        <w:rPr>
          <w:rFonts w:cs="Times New Roman"/>
          <w:szCs w:val="24"/>
        </w:rPr>
        <w:t xml:space="preserve"> due May 4.  Comments on the NOI are cu</w:t>
      </w:r>
      <w:r w:rsidR="00B75FDD">
        <w:rPr>
          <w:rFonts w:cs="Times New Roman"/>
          <w:szCs w:val="24"/>
        </w:rPr>
        <w:t>rrently due May 14, with reply comments</w:t>
      </w:r>
      <w:r>
        <w:rPr>
          <w:rFonts w:cs="Times New Roman"/>
          <w:szCs w:val="24"/>
        </w:rPr>
        <w:t xml:space="preserve"> due June 14.</w:t>
      </w:r>
    </w:p>
    <w:p w14:paraId="1C16F0EE" w14:textId="77777777" w:rsidR="00A12347" w:rsidRDefault="00A12347" w:rsidP="00A12347">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D791B67" w14:textId="77777777" w:rsidR="00A12347" w:rsidRPr="00417456" w:rsidRDefault="00A12347" w:rsidP="00A12347">
      <w:pPr>
        <w:tabs>
          <w:tab w:val="left" w:pos="720"/>
        </w:tabs>
        <w:autoSpaceDE w:val="0"/>
        <w:autoSpaceDN w:val="0"/>
        <w:adjustRightInd w:val="0"/>
        <w:spacing w:after="0"/>
        <w:contextualSpacing/>
        <w:rPr>
          <w:rFonts w:eastAsia="Calibri" w:cs="Times New Roman"/>
          <w:color w:val="2E74B5"/>
          <w:szCs w:val="24"/>
        </w:rPr>
      </w:pPr>
    </w:p>
    <w:p w14:paraId="14B09B55" w14:textId="77777777" w:rsidR="00F414E8" w:rsidRDefault="00F414E8" w:rsidP="007D1905">
      <w:pPr>
        <w:tabs>
          <w:tab w:val="left" w:pos="720"/>
        </w:tabs>
        <w:spacing w:after="0"/>
        <w:ind w:firstLine="720"/>
        <w:jc w:val="right"/>
        <w:rPr>
          <w:rFonts w:eastAsia="Times New Roman" w:cs="Times New Roman"/>
          <w:i/>
          <w:color w:val="000000"/>
          <w:szCs w:val="24"/>
        </w:rPr>
      </w:pPr>
      <w:bookmarkStart w:id="38" w:name="_Chairman_Pai_Thanks"/>
      <w:bookmarkEnd w:id="38"/>
    </w:p>
    <w:p w14:paraId="75034D92" w14:textId="5A8AAA35" w:rsidR="007E3A00" w:rsidRPr="002B6E2A" w:rsidRDefault="007E3A00" w:rsidP="007D190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17"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8" w:history="1">
        <w:r w:rsidRPr="002B6E2A">
          <w:rPr>
            <w:rFonts w:eastAsia="Calibri" w:cs="Times New Roman"/>
            <w:szCs w:val="24"/>
          </w:rPr>
          <w:t>Marcus W. Trathen</w:t>
        </w:r>
      </w:hyperlink>
      <w:r>
        <w:rPr>
          <w:rFonts w:eastAsia="Calibri" w:cs="Times New Roman"/>
          <w:szCs w:val="24"/>
        </w:rPr>
        <w:br/>
      </w:r>
      <w:hyperlink r:id="rId19" w:history="1">
        <w:r w:rsidRPr="002B6E2A">
          <w:rPr>
            <w:rFonts w:eastAsia="Calibri" w:cs="Times New Roman"/>
            <w:szCs w:val="24"/>
          </w:rPr>
          <w:t>David Kushner</w:t>
        </w:r>
      </w:hyperlink>
      <w:r>
        <w:rPr>
          <w:rFonts w:eastAsia="Calibri" w:cs="Times New Roman"/>
          <w:szCs w:val="24"/>
        </w:rPr>
        <w:br/>
      </w:r>
      <w:hyperlink r:id="rId20" w:history="1">
        <w:r w:rsidRPr="002B6E2A">
          <w:rPr>
            <w:rFonts w:eastAsia="Calibri" w:cs="Times New Roman"/>
            <w:szCs w:val="24"/>
          </w:rPr>
          <w:t>Coe W. Ramsey</w:t>
        </w:r>
      </w:hyperlink>
      <w:r>
        <w:rPr>
          <w:rFonts w:eastAsia="Calibri" w:cs="Times New Roman"/>
          <w:szCs w:val="24"/>
        </w:rPr>
        <w:br/>
      </w:r>
      <w:hyperlink r:id="rId21" w:history="1">
        <w:r w:rsidRPr="002B6E2A">
          <w:rPr>
            <w:rFonts w:eastAsia="Calibri" w:cs="Times New Roman"/>
            <w:szCs w:val="24"/>
          </w:rPr>
          <w:t>Stephen Hartzell</w:t>
        </w:r>
      </w:hyperlink>
    </w:p>
    <w:p w14:paraId="6D7F0DCA" w14:textId="77777777" w:rsidR="007E3A00" w:rsidRPr="002B6E2A" w:rsidRDefault="00F37295"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2" w:history="1">
        <w:r w:rsidR="007E3A00" w:rsidRPr="002B6E2A">
          <w:rPr>
            <w:rFonts w:eastAsia="Calibri" w:cs="Times New Roman"/>
            <w:szCs w:val="24"/>
          </w:rPr>
          <w:t>Julia C. Ambrose</w:t>
        </w:r>
      </w:hyperlink>
    </w:p>
    <w:p w14:paraId="3E40FD89" w14:textId="77777777" w:rsidR="007E3A00" w:rsidRPr="002B6E2A" w:rsidRDefault="00F37295"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3" w:history="1">
        <w:r w:rsidR="007E3A00" w:rsidRPr="002B6E2A">
          <w:rPr>
            <w:rFonts w:eastAsia="Calibri" w:cs="Times New Roman"/>
            <w:szCs w:val="24"/>
          </w:rPr>
          <w:t>Elizabeth E. Spainhour</w:t>
        </w:r>
      </w:hyperlink>
    </w:p>
    <w:p w14:paraId="5E4B540C" w14:textId="77777777" w:rsidR="007E3A00" w:rsidRPr="002B6E2A" w:rsidRDefault="00F37295"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4" w:history="1">
        <w:r w:rsidR="007E3A00" w:rsidRPr="002B6E2A">
          <w:rPr>
            <w:rFonts w:eastAsia="Calibri" w:cs="Times New Roman"/>
            <w:szCs w:val="24"/>
          </w:rPr>
          <w:t>J. Benjamin Davis</w:t>
        </w:r>
      </w:hyperlink>
    </w:p>
    <w:p w14:paraId="0AE4440D" w14:textId="77777777" w:rsidR="007E3A00" w:rsidRDefault="00F37295"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5" w:history="1">
        <w:r w:rsidR="007E3A00" w:rsidRPr="002B6E2A">
          <w:rPr>
            <w:rFonts w:eastAsia="Calibri" w:cs="Times New Roman"/>
            <w:szCs w:val="24"/>
          </w:rPr>
          <w:t>Timothy G. Nelson</w:t>
        </w:r>
      </w:hyperlink>
    </w:p>
    <w:p w14:paraId="72136B94" w14:textId="77777777" w:rsidR="007E3A00" w:rsidRPr="00FF2698" w:rsidRDefault="00F37295" w:rsidP="007E3A00">
      <w:pPr>
        <w:widowControl w:val="0"/>
        <w:tabs>
          <w:tab w:val="left" w:pos="738"/>
        </w:tabs>
        <w:spacing w:after="0"/>
        <w:contextualSpacing/>
        <w:rPr>
          <w:rFonts w:eastAsia="Calibri" w:cs="Times New Roman"/>
          <w:szCs w:val="24"/>
        </w:rPr>
      </w:pPr>
      <w:hyperlink r:id="rId26"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324769E1" w:rsidR="00535205" w:rsidRDefault="00A86404"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007E3A00" w:rsidRPr="009105B1">
        <w:rPr>
          <w:rFonts w:eastAsia="Calibri" w:cs="Times New Roman"/>
          <w:sz w:val="20"/>
          <w:szCs w:val="20"/>
        </w:rPr>
        <w:t xml:space="preserve"> Brooks, Pierce, McLendon, Humphrey &amp; Leonard, L.L.P.</w:t>
      </w:r>
    </w:p>
    <w:sectPr w:rsidR="00535205" w:rsidSect="00F54AC0">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2F066" w14:textId="77777777" w:rsidR="00476F17" w:rsidRDefault="00476F17" w:rsidP="002B6E2A">
      <w:pPr>
        <w:spacing w:after="0"/>
      </w:pPr>
      <w:r>
        <w:separator/>
      </w:r>
    </w:p>
  </w:endnote>
  <w:endnote w:type="continuationSeparator" w:id="0">
    <w:p w14:paraId="0972D0D2" w14:textId="77777777" w:rsidR="00476F17" w:rsidRDefault="00476F17"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AC3D" w14:textId="77777777" w:rsidR="00F54AC0" w:rsidRDefault="00F54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24B5FAFA"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F37295">
      <w:rPr>
        <w:noProof/>
        <w:color w:val="2F5496" w:themeColor="accent5" w:themeShade="BF"/>
      </w:rPr>
      <w:t>5</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C789F" w14:textId="77777777" w:rsidR="00F54AC0" w:rsidRDefault="00F54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07C04" w14:textId="77777777" w:rsidR="00476F17" w:rsidRDefault="00476F17" w:rsidP="002B6E2A">
      <w:pPr>
        <w:spacing w:after="0"/>
      </w:pPr>
      <w:r>
        <w:separator/>
      </w:r>
    </w:p>
  </w:footnote>
  <w:footnote w:type="continuationSeparator" w:id="0">
    <w:p w14:paraId="1D139A87" w14:textId="77777777" w:rsidR="00476F17" w:rsidRDefault="00476F17"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B0B9" w14:textId="77777777" w:rsidR="00F54AC0" w:rsidRDefault="00F54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7E3AE941" w:rsidR="00771F5E" w:rsidRPr="00991C10" w:rsidRDefault="00771F5E"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F54AC0" w:rsidRPr="00D6082B" w14:paraId="2BB72DD3" w14:textId="77777777" w:rsidTr="009C68E5">
      <w:tc>
        <w:tcPr>
          <w:tcW w:w="1440" w:type="dxa"/>
          <w:shd w:val="clear" w:color="auto" w:fill="auto"/>
        </w:tcPr>
        <w:p w14:paraId="57742AA9" w14:textId="77777777" w:rsidR="00F54AC0" w:rsidRPr="00D6082B" w:rsidRDefault="00F54AC0" w:rsidP="00F54AC0">
          <w:pPr>
            <w:tabs>
              <w:tab w:val="left" w:pos="720"/>
            </w:tabs>
            <w:spacing w:after="0"/>
            <w:jc w:val="center"/>
            <w:rPr>
              <w:rFonts w:eastAsia="Calibri" w:cs="Times New Roman"/>
              <w:szCs w:val="24"/>
            </w:rPr>
          </w:pPr>
        </w:p>
      </w:tc>
      <w:tc>
        <w:tcPr>
          <w:tcW w:w="7380" w:type="dxa"/>
          <w:gridSpan w:val="3"/>
          <w:shd w:val="clear" w:color="auto" w:fill="auto"/>
        </w:tcPr>
        <w:p w14:paraId="1E957707" w14:textId="77777777" w:rsidR="00F54AC0" w:rsidRDefault="00F54AC0" w:rsidP="00F54AC0">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7A2EC2C9" wp14:editId="6EF39506">
                <wp:extent cx="2630371" cy="11459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5" r="13414" b="9856"/>
                        <a:stretch/>
                      </pic:blipFill>
                      <pic:spPr bwMode="auto">
                        <a:xfrm>
                          <a:off x="0" y="0"/>
                          <a:ext cx="2694788" cy="1174046"/>
                        </a:xfrm>
                        <a:prstGeom prst="rect">
                          <a:avLst/>
                        </a:prstGeom>
                        <a:ln>
                          <a:noFill/>
                        </a:ln>
                        <a:extLst>
                          <a:ext uri="{53640926-AAD7-44D8-BBD7-CCE9431645EC}">
                            <a14:shadowObscured xmlns:a14="http://schemas.microsoft.com/office/drawing/2010/main"/>
                          </a:ext>
                        </a:extLst>
                      </pic:spPr>
                    </pic:pic>
                  </a:graphicData>
                </a:graphic>
              </wp:inline>
            </w:drawing>
          </w:r>
        </w:p>
        <w:p w14:paraId="67041504" w14:textId="77777777" w:rsidR="00F54AC0" w:rsidRDefault="00F54AC0" w:rsidP="00F54AC0">
          <w:pPr>
            <w:tabs>
              <w:tab w:val="left" w:pos="720"/>
            </w:tabs>
            <w:spacing w:after="0"/>
            <w:jc w:val="center"/>
            <w:rPr>
              <w:rFonts w:eastAsia="Calibri" w:cs="Times New Roman"/>
              <w:szCs w:val="24"/>
            </w:rPr>
          </w:pPr>
        </w:p>
        <w:p w14:paraId="22A7339D" w14:textId="77777777" w:rsidR="00F54AC0" w:rsidRPr="00C8729A" w:rsidRDefault="00F54AC0" w:rsidP="00F54AC0">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11A8F8B3" wp14:editId="1A59A5B3">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0373DCDD" w14:textId="77777777" w:rsidR="00F54AC0" w:rsidRPr="00D6082B" w:rsidRDefault="00F54AC0" w:rsidP="00F54AC0">
          <w:pPr>
            <w:tabs>
              <w:tab w:val="left" w:pos="720"/>
            </w:tabs>
            <w:spacing w:after="0"/>
            <w:jc w:val="center"/>
            <w:rPr>
              <w:rFonts w:eastAsia="Calibri" w:cs="Times New Roman"/>
              <w:szCs w:val="24"/>
            </w:rPr>
          </w:pPr>
        </w:p>
      </w:tc>
      <w:tc>
        <w:tcPr>
          <w:tcW w:w="1620" w:type="dxa"/>
          <w:shd w:val="clear" w:color="auto" w:fill="auto"/>
        </w:tcPr>
        <w:p w14:paraId="0EECC110" w14:textId="77777777" w:rsidR="00F54AC0" w:rsidRPr="00D6082B" w:rsidRDefault="00F54AC0" w:rsidP="00F54AC0">
          <w:pPr>
            <w:tabs>
              <w:tab w:val="left" w:pos="720"/>
            </w:tabs>
            <w:spacing w:after="0"/>
            <w:jc w:val="center"/>
            <w:rPr>
              <w:rFonts w:eastAsia="Calibri" w:cs="Times New Roman"/>
              <w:szCs w:val="24"/>
            </w:rPr>
          </w:pPr>
        </w:p>
      </w:tc>
    </w:tr>
    <w:tr w:rsidR="00F54AC0" w:rsidRPr="00D6082B" w14:paraId="56D00309" w14:textId="77777777" w:rsidTr="009C68E5">
      <w:tc>
        <w:tcPr>
          <w:tcW w:w="4500" w:type="dxa"/>
          <w:gridSpan w:val="2"/>
          <w:shd w:val="clear" w:color="auto" w:fill="auto"/>
          <w:tcMar>
            <w:left w:w="0" w:type="dxa"/>
            <w:right w:w="0" w:type="dxa"/>
          </w:tcMar>
        </w:tcPr>
        <w:p w14:paraId="2D65B52C" w14:textId="77777777" w:rsidR="00F54AC0" w:rsidRPr="00D6082B" w:rsidRDefault="00F54AC0" w:rsidP="00F54AC0">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31E41155" w14:textId="77777777" w:rsidR="00F54AC0" w:rsidRPr="00D6082B" w:rsidRDefault="00F54AC0" w:rsidP="00F54AC0">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1579B423" w14:textId="77777777" w:rsidR="00F54AC0" w:rsidRPr="00D6082B" w:rsidRDefault="00F54AC0" w:rsidP="00F54AC0">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7900566A" w14:textId="77777777" w:rsidR="00F54AC0" w:rsidRPr="00D6082B" w:rsidRDefault="00F54AC0" w:rsidP="00F54AC0">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1D000716" w14:textId="77777777" w:rsidR="00F54AC0" w:rsidRDefault="00F54AC0" w:rsidP="00F54AC0">
          <w:pPr>
            <w:tabs>
              <w:tab w:val="left" w:pos="720"/>
            </w:tabs>
            <w:spacing w:after="0"/>
            <w:jc w:val="center"/>
            <w:rPr>
              <w:rFonts w:eastAsia="Calibri" w:cs="Times New Roman"/>
              <w:szCs w:val="24"/>
            </w:rPr>
          </w:pPr>
          <w:r>
            <w:rPr>
              <w:rFonts w:eastAsia="Calibri" w:cs="Times New Roman"/>
              <w:szCs w:val="24"/>
            </w:rPr>
            <w:t>Charlottesville, VA 22902</w:t>
          </w:r>
        </w:p>
        <w:p w14:paraId="251CA418" w14:textId="77777777" w:rsidR="00F54AC0" w:rsidRPr="00D6082B" w:rsidRDefault="00F54AC0" w:rsidP="00F54AC0">
          <w:pPr>
            <w:tabs>
              <w:tab w:val="left" w:pos="720"/>
            </w:tabs>
            <w:spacing w:after="0"/>
            <w:jc w:val="center"/>
            <w:rPr>
              <w:rFonts w:eastAsia="Calibri" w:cs="Times New Roman"/>
              <w:szCs w:val="24"/>
            </w:rPr>
          </w:pPr>
          <w:r w:rsidRPr="00D6082B">
            <w:rPr>
              <w:rFonts w:eastAsia="Calibri" w:cs="Times New Roman"/>
              <w:szCs w:val="24"/>
            </w:rPr>
            <w:t>(434) 977-3716 </w:t>
          </w:r>
        </w:p>
      </w:tc>
    </w:tr>
    <w:tr w:rsidR="00F54AC0" w:rsidRPr="00D6082B" w14:paraId="04C4D54B" w14:textId="77777777" w:rsidTr="009C68E5">
      <w:trPr>
        <w:trHeight w:val="259"/>
      </w:trPr>
      <w:tc>
        <w:tcPr>
          <w:tcW w:w="10440" w:type="dxa"/>
          <w:gridSpan w:val="5"/>
          <w:shd w:val="clear" w:color="auto" w:fill="auto"/>
        </w:tcPr>
        <w:p w14:paraId="051153B4" w14:textId="77777777" w:rsidR="00F54AC0" w:rsidRPr="00D6082B" w:rsidRDefault="00F54AC0" w:rsidP="00F54AC0">
          <w:pPr>
            <w:tabs>
              <w:tab w:val="left" w:pos="720"/>
            </w:tabs>
            <w:spacing w:after="0"/>
            <w:jc w:val="center"/>
            <w:rPr>
              <w:rFonts w:eastAsia="Calibri" w:cs="Times New Roman"/>
              <w:b/>
              <w:szCs w:val="24"/>
            </w:rPr>
          </w:pPr>
        </w:p>
      </w:tc>
    </w:tr>
    <w:tr w:rsidR="00F54AC0" w:rsidRPr="00D6082B" w14:paraId="7CA5A819" w14:textId="77777777" w:rsidTr="009C68E5">
      <w:trPr>
        <w:trHeight w:val="103"/>
      </w:trPr>
      <w:tc>
        <w:tcPr>
          <w:tcW w:w="10440" w:type="dxa"/>
          <w:gridSpan w:val="5"/>
          <w:shd w:val="clear" w:color="auto" w:fill="auto"/>
          <w:tcMar>
            <w:left w:w="115" w:type="dxa"/>
            <w:right w:w="115" w:type="dxa"/>
          </w:tcMar>
          <w:vAlign w:val="center"/>
        </w:tcPr>
        <w:p w14:paraId="0E375ADE" w14:textId="77777777" w:rsidR="00F54AC0" w:rsidRPr="00D6082B" w:rsidRDefault="00F54AC0" w:rsidP="00F54AC0">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7C36801E" wp14:editId="51DDF2A9">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E5DE9"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4AB32FA9" wp14:editId="5738404F">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710A5"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7C84BE11" w14:textId="77777777" w:rsidR="00F54AC0" w:rsidRDefault="00F54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3"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0"/>
  </w:num>
  <w:num w:numId="4">
    <w:abstractNumId w:val="15"/>
  </w:num>
  <w:num w:numId="5">
    <w:abstractNumId w:val="8"/>
  </w:num>
  <w:num w:numId="6">
    <w:abstractNumId w:val="2"/>
  </w:num>
  <w:num w:numId="7">
    <w:abstractNumId w:val="9"/>
  </w:num>
  <w:num w:numId="8">
    <w:abstractNumId w:val="6"/>
  </w:num>
  <w:num w:numId="9">
    <w:abstractNumId w:val="4"/>
  </w:num>
  <w:num w:numId="10">
    <w:abstractNumId w:val="13"/>
  </w:num>
  <w:num w:numId="11">
    <w:abstractNumId w:val="11"/>
  </w:num>
  <w:num w:numId="12">
    <w:abstractNumId w:val="14"/>
  </w:num>
  <w:num w:numId="13">
    <w:abstractNumId w:val="0"/>
  </w:num>
  <w:num w:numId="14">
    <w:abstractNumId w:val="5"/>
  </w:num>
  <w:num w:numId="15">
    <w:abstractNumId w:val="7"/>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5D5B"/>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0DAE"/>
    <w:rsid w:val="000311BF"/>
    <w:rsid w:val="00031666"/>
    <w:rsid w:val="00032635"/>
    <w:rsid w:val="00032A3E"/>
    <w:rsid w:val="00032B56"/>
    <w:rsid w:val="0003326F"/>
    <w:rsid w:val="00033309"/>
    <w:rsid w:val="0003360A"/>
    <w:rsid w:val="00033856"/>
    <w:rsid w:val="000354BB"/>
    <w:rsid w:val="00035FC1"/>
    <w:rsid w:val="0003607F"/>
    <w:rsid w:val="000360A5"/>
    <w:rsid w:val="000360D1"/>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4AE"/>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833"/>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24B"/>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84"/>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E4B"/>
    <w:rsid w:val="00163A99"/>
    <w:rsid w:val="00164693"/>
    <w:rsid w:val="001666BF"/>
    <w:rsid w:val="00166AFE"/>
    <w:rsid w:val="00166DCA"/>
    <w:rsid w:val="0016742D"/>
    <w:rsid w:val="00170583"/>
    <w:rsid w:val="0017091C"/>
    <w:rsid w:val="001711B3"/>
    <w:rsid w:val="0017218E"/>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F5"/>
    <w:rsid w:val="001B4999"/>
    <w:rsid w:val="001B4A40"/>
    <w:rsid w:val="001B501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C7C76"/>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D48"/>
    <w:rsid w:val="002622E6"/>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5250"/>
    <w:rsid w:val="002E5611"/>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E2B"/>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32A6"/>
    <w:rsid w:val="004433AF"/>
    <w:rsid w:val="00443B6F"/>
    <w:rsid w:val="00444CAC"/>
    <w:rsid w:val="00444E7D"/>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76F17"/>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893"/>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3A71"/>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55C0"/>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DEA"/>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2B8"/>
    <w:rsid w:val="00652306"/>
    <w:rsid w:val="006523D5"/>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44D"/>
    <w:rsid w:val="008248C8"/>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70A"/>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4DB"/>
    <w:rsid w:val="00890641"/>
    <w:rsid w:val="008908FE"/>
    <w:rsid w:val="00890910"/>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0D5"/>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0"/>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54B7"/>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0F46"/>
    <w:rsid w:val="00A51C12"/>
    <w:rsid w:val="00A51D73"/>
    <w:rsid w:val="00A53566"/>
    <w:rsid w:val="00A539D1"/>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426"/>
    <w:rsid w:val="00B02944"/>
    <w:rsid w:val="00B02EE3"/>
    <w:rsid w:val="00B02F72"/>
    <w:rsid w:val="00B0312A"/>
    <w:rsid w:val="00B031D5"/>
    <w:rsid w:val="00B037A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581"/>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971"/>
    <w:rsid w:val="00B30CA4"/>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FB"/>
    <w:rsid w:val="00B52DDB"/>
    <w:rsid w:val="00B530DE"/>
    <w:rsid w:val="00B5331D"/>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5FDD"/>
    <w:rsid w:val="00B76031"/>
    <w:rsid w:val="00B77C88"/>
    <w:rsid w:val="00B77E71"/>
    <w:rsid w:val="00B80A56"/>
    <w:rsid w:val="00B8177A"/>
    <w:rsid w:val="00B81BB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793"/>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3C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59B"/>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DD6"/>
    <w:rsid w:val="00D929F2"/>
    <w:rsid w:val="00D92B4C"/>
    <w:rsid w:val="00D92E80"/>
    <w:rsid w:val="00D92EBA"/>
    <w:rsid w:val="00D931AB"/>
    <w:rsid w:val="00D932F9"/>
    <w:rsid w:val="00D935B6"/>
    <w:rsid w:val="00D93672"/>
    <w:rsid w:val="00D93F5F"/>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7C3"/>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27707"/>
    <w:rsid w:val="00E3007E"/>
    <w:rsid w:val="00E30113"/>
    <w:rsid w:val="00E30DCE"/>
    <w:rsid w:val="00E31534"/>
    <w:rsid w:val="00E32007"/>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6F1C"/>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686"/>
    <w:rsid w:val="00EC58B2"/>
    <w:rsid w:val="00EC6282"/>
    <w:rsid w:val="00EC6FF2"/>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295"/>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AC0"/>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A1B6F2"/>
  <w15:chartTrackingRefBased/>
  <w15:docId w15:val="{6F62F077-C557-4311-981A-2E28178F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1-404A1.pdf" TargetMode="External"/><Relationship Id="rId13" Type="http://schemas.openxmlformats.org/officeDocument/2006/relationships/hyperlink" Target="https://docs.fcc.gov/public/attachments/DOC-369398A2.xlsx" TargetMode="External"/><Relationship Id="rId18" Type="http://schemas.openxmlformats.org/officeDocument/2006/relationships/hyperlink" Target="mailto:mtrathen@brookspierce.com" TargetMode="External"/><Relationship Id="rId26" Type="http://schemas.openxmlformats.org/officeDocument/2006/relationships/hyperlink" Target="mailto:pcross@brookspierce.com" TargetMode="External"/><Relationship Id="rId3" Type="http://schemas.openxmlformats.org/officeDocument/2006/relationships/styles" Target="styles.xml"/><Relationship Id="rId21" Type="http://schemas.openxmlformats.org/officeDocument/2006/relationships/hyperlink" Target="mailto:shartzell@brookspierce.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fcc.gov/public/attachments/DOC-369398A2.xlsx" TargetMode="External"/><Relationship Id="rId17" Type="http://schemas.openxmlformats.org/officeDocument/2006/relationships/hyperlink" Target="mailto:mprak@brookspierce.com" TargetMode="External"/><Relationship Id="rId25" Type="http://schemas.openxmlformats.org/officeDocument/2006/relationships/hyperlink" Target="mailto:tnelson@brookspierce.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fcc.gov/public/attachments/FCC-21-36A1.pdf" TargetMode="External"/><Relationship Id="rId20" Type="http://schemas.openxmlformats.org/officeDocument/2006/relationships/hyperlink" Target="mailto:cramsey@brookspierc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OC-369398A3.xlsx" TargetMode="External"/><Relationship Id="rId24" Type="http://schemas.openxmlformats.org/officeDocument/2006/relationships/hyperlink" Target="mailto:bdavis@brookspierce.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cc.gov/document/ib-identifies-inactiveunresponsive-c-band-incumbent-earth-stations" TargetMode="External"/><Relationship Id="rId23" Type="http://schemas.openxmlformats.org/officeDocument/2006/relationships/hyperlink" Target="mailto:espainhour@brookspierce.com" TargetMode="External"/><Relationship Id="rId28" Type="http://schemas.openxmlformats.org/officeDocument/2006/relationships/header" Target="header2.xml"/><Relationship Id="rId10" Type="http://schemas.openxmlformats.org/officeDocument/2006/relationships/hyperlink" Target="https://docs.fcc.gov/public/attachments/DOC-369398A1.pdf" TargetMode="External"/><Relationship Id="rId19" Type="http://schemas.openxmlformats.org/officeDocument/2006/relationships/hyperlink" Target="mailto:dkushner@brookspierce.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s.fcc.gov/public/attachments/DA-20-1171A1.pdf" TargetMode="External"/><Relationship Id="rId14" Type="http://schemas.openxmlformats.org/officeDocument/2006/relationships/hyperlink" Target="https://docs.fcc.gov/public/attachments/DOC-369398A3.xlsx" TargetMode="External"/><Relationship Id="rId22" Type="http://schemas.openxmlformats.org/officeDocument/2006/relationships/hyperlink" Target="mailto:jambrose@brookspierce.com"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DD071-1648-4B70-B403-19A2831C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2021-04-09T20:13:00Z</cp:lastPrinted>
  <dcterms:created xsi:type="dcterms:W3CDTF">2021-04-09T20:12:00Z</dcterms:created>
  <dcterms:modified xsi:type="dcterms:W3CDTF">2021-04-09T20:13:00Z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