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2DE71" w14:textId="77777777" w:rsidR="003C72B7" w:rsidRDefault="003C72B7" w:rsidP="007E3A00">
      <w:pPr>
        <w:spacing w:after="0"/>
        <w:jc w:val="center"/>
        <w:textAlignment w:val="baseline"/>
        <w:rPr>
          <w:rFonts w:eastAsia="Times New Roman" w:cs="Times New Roman"/>
          <w:color w:val="000000"/>
          <w:spacing w:val="1"/>
          <w:sz w:val="26"/>
          <w:szCs w:val="26"/>
        </w:rPr>
      </w:pPr>
      <w:bookmarkStart w:id="0" w:name="_GoBack"/>
      <w:bookmarkEnd w:id="0"/>
    </w:p>
    <w:p w14:paraId="78E73E63" w14:textId="64CDEE7B" w:rsidR="007E3A00" w:rsidRPr="002B6E2A" w:rsidRDefault="00B66BEF" w:rsidP="007E3A00">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September 4</w:t>
      </w:r>
      <w:r w:rsidR="007E3A00">
        <w:rPr>
          <w:rFonts w:eastAsia="Times New Roman" w:cs="Times New Roman"/>
          <w:color w:val="000000"/>
          <w:spacing w:val="1"/>
          <w:sz w:val="26"/>
          <w:szCs w:val="26"/>
        </w:rPr>
        <w:t>, 2020</w:t>
      </w:r>
    </w:p>
    <w:p w14:paraId="5A51665B" w14:textId="77777777" w:rsidR="007E3A00" w:rsidRPr="002B6E2A" w:rsidRDefault="007E3A00" w:rsidP="007E3A00">
      <w:pPr>
        <w:spacing w:after="0"/>
        <w:ind w:right="144"/>
        <w:jc w:val="center"/>
        <w:textAlignment w:val="baseline"/>
        <w:rPr>
          <w:rFonts w:eastAsia="Times New Roman" w:cs="Times New Roman"/>
          <w:color w:val="000000"/>
          <w:spacing w:val="1"/>
        </w:rPr>
      </w:pPr>
    </w:p>
    <w:p w14:paraId="7FD09DC7" w14:textId="275D3998" w:rsidR="007E3A00" w:rsidRPr="00A90617" w:rsidRDefault="00F50601" w:rsidP="007E3A00">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8240" behindDoc="0" locked="0" layoutInCell="1" allowOverlap="1" wp14:anchorId="70F93943" wp14:editId="443808B0">
                <wp:simplePos x="0" y="0"/>
                <wp:positionH relativeFrom="column">
                  <wp:posOffset>0</wp:posOffset>
                </wp:positionH>
                <wp:positionV relativeFrom="paragraph">
                  <wp:posOffset>546698</wp:posOffset>
                </wp:positionV>
                <wp:extent cx="5937885" cy="20320"/>
                <wp:effectExtent l="0" t="0" r="24765" b="36830"/>
                <wp:wrapSquare wrapText="bothSides"/>
                <wp:docPr id="1" name="Straight Connector 1"/>
                <wp:cNvGraphicFramePr/>
                <a:graphic xmlns:a="http://schemas.openxmlformats.org/drawingml/2006/main">
                  <a:graphicData uri="http://schemas.microsoft.com/office/word/2010/wordprocessingShape">
                    <wps:wsp>
                      <wps:cNvCnPr/>
                      <wps:spPr>
                        <a:xfrm>
                          <a:off x="0" y="0"/>
                          <a:ext cx="5937885" cy="20320"/>
                        </a:xfrm>
                        <a:prstGeom prst="line">
                          <a:avLst/>
                        </a:prstGeom>
                        <a:ln w="22225" cap="rnd">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8C37E"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3.05pt" to="467.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" strokecolor="#2e74b5 [2404]" strokeweight="1.75pt">
                <v:stroke joinstyle="miter" endcap="round"/>
                <w10:wrap type="square"/>
              </v:line>
            </w:pict>
          </mc:Fallback>
        </mc:AlternateContent>
      </w:r>
      <w:r w:rsidR="007E3A00" w:rsidRPr="00A90617">
        <w:rPr>
          <w:rFonts w:asciiTheme="majorHAnsi" w:eastAsiaTheme="majorEastAsia" w:hAnsiTheme="majorHAnsi" w:cstheme="majorBidi"/>
          <w:color w:val="2E74B5" w:themeColor="accent1" w:themeShade="BF"/>
          <w:spacing w:val="-10"/>
          <w:kern w:val="28"/>
          <w:sz w:val="52"/>
          <w:szCs w:val="56"/>
        </w:rPr>
        <w:t>Legal Memorandum</w:t>
      </w:r>
    </w:p>
    <w:p w14:paraId="5407A60E" w14:textId="204BE523" w:rsidR="007E3A00" w:rsidRPr="00F50601" w:rsidRDefault="007E3A00" w:rsidP="00F50601">
      <w:pPr>
        <w:spacing w:after="0"/>
        <w:contextualSpacing/>
        <w:jc w:val="center"/>
        <w:rPr>
          <w:rFonts w:eastAsia="Calibri" w:cs="Times New Roman"/>
          <w:i/>
          <w:color w:val="2E74B5"/>
          <w:szCs w:val="24"/>
        </w:rPr>
      </w:pPr>
    </w:p>
    <w:p w14:paraId="447A54EF" w14:textId="77777777" w:rsidR="007E3A00" w:rsidRPr="00A90617" w:rsidRDefault="007E3A00" w:rsidP="007E3A00">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24191EB5" w14:textId="0C4F9A79" w:rsidR="007E3A00" w:rsidRDefault="00F50601" w:rsidP="007E3A00">
      <w:pPr>
        <w:spacing w:after="0"/>
        <w:jc w:val="both"/>
        <w:rPr>
          <w:rFonts w:eastAsia="Calibri" w:cs="Times New Roman"/>
          <w:szCs w:val="32"/>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0" layoutInCell="1" allowOverlap="1" wp14:anchorId="381AF824" wp14:editId="375276B8">
                <wp:simplePos x="0" y="0"/>
                <wp:positionH relativeFrom="column">
                  <wp:posOffset>0</wp:posOffset>
                </wp:positionH>
                <wp:positionV relativeFrom="paragraph">
                  <wp:posOffset>1654138</wp:posOffset>
                </wp:positionV>
                <wp:extent cx="5937885" cy="20320"/>
                <wp:effectExtent l="0" t="0" r="24765" b="36830"/>
                <wp:wrapSquare wrapText="bothSides"/>
                <wp:docPr id="2" name="Straight Connector 2"/>
                <wp:cNvGraphicFramePr/>
                <a:graphic xmlns:a="http://schemas.openxmlformats.org/drawingml/2006/main">
                  <a:graphicData uri="http://schemas.microsoft.com/office/word/2010/wordprocessingShape">
                    <wps:wsp>
                      <wps:cNvCnPr/>
                      <wps:spPr>
                        <a:xfrm>
                          <a:off x="0" y="0"/>
                          <a:ext cx="5937885" cy="20320"/>
                        </a:xfrm>
                        <a:prstGeom prst="line">
                          <a:avLst/>
                        </a:prstGeom>
                        <a:ln w="22225" cap="rnd">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8750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30.25pt" to="467.55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" strokecolor="#2e74b5 [2404]" strokeweight="1.75pt">
                <v:stroke joinstyle="miter" endcap="round"/>
                <w10:wrap type="square"/>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7735"/>
      </w:tblGrid>
      <w:tr w:rsidR="00292E25" w14:paraId="7B84E09C" w14:textId="77777777" w:rsidTr="00F50601">
        <w:trPr>
          <w:trHeight w:val="2168"/>
        </w:trPr>
        <w:tc>
          <w:tcPr>
            <w:tcW w:w="1615" w:type="dxa"/>
          </w:tcPr>
          <w:p w14:paraId="521E82CF" w14:textId="26C8498C" w:rsidR="00292E25" w:rsidRDefault="00292E25" w:rsidP="007E3A00">
            <w:pPr>
              <w:spacing w:after="0"/>
              <w:jc w:val="both"/>
              <w:rPr>
                <w:rFonts w:eastAsia="Calibri" w:cs="Times New Roman"/>
                <w:szCs w:val="32"/>
              </w:rPr>
            </w:pPr>
            <w:r>
              <w:rPr>
                <w:rFonts w:ascii="Calibri Light" w:eastAsia="Calibri" w:hAnsi="Calibri Light" w:cs="Times New Roman"/>
                <w:i/>
                <w:sz w:val="32"/>
                <w:szCs w:val="32"/>
              </w:rPr>
              <w:t>D</w:t>
            </w:r>
            <w:r w:rsidRPr="0078258C">
              <w:rPr>
                <w:rFonts w:ascii="Calibri Light" w:eastAsia="Calibri" w:hAnsi="Calibri Light" w:cs="Times New Roman"/>
                <w:i/>
                <w:sz w:val="32"/>
                <w:szCs w:val="32"/>
              </w:rPr>
              <w:t>eadline</w:t>
            </w:r>
            <w:r>
              <w:rPr>
                <w:rFonts w:ascii="Calibri Light" w:eastAsia="Calibri" w:hAnsi="Calibri Light" w:cs="Times New Roman"/>
                <w:i/>
                <w:sz w:val="32"/>
                <w:szCs w:val="32"/>
              </w:rPr>
              <w:t>s</w:t>
            </w:r>
            <w:r w:rsidRPr="0078258C">
              <w:rPr>
                <w:rFonts w:ascii="Calibri Light" w:eastAsia="Calibri" w:hAnsi="Calibri Light" w:cs="Times New Roman"/>
                <w:i/>
                <w:sz w:val="32"/>
                <w:szCs w:val="32"/>
              </w:rPr>
              <w:t>:</w:t>
            </w:r>
          </w:p>
        </w:tc>
        <w:tc>
          <w:tcPr>
            <w:tcW w:w="7735" w:type="dxa"/>
          </w:tcPr>
          <w:p w14:paraId="1ABE0093" w14:textId="75D6F27F" w:rsidR="00292E25" w:rsidRPr="004A119E" w:rsidRDefault="00292E25" w:rsidP="00F50601">
            <w:pPr>
              <w:spacing w:before="60"/>
              <w:ind w:left="2232" w:hanging="2246"/>
              <w:jc w:val="both"/>
              <w:rPr>
                <w:rStyle w:val="Hyperlink"/>
                <w:rFonts w:eastAsia="Calibri" w:cs="Times New Roman"/>
                <w:szCs w:val="24"/>
              </w:rPr>
            </w:pPr>
            <w:r>
              <w:rPr>
                <w:b/>
              </w:rPr>
              <w:fldChar w:fldCharType="begin"/>
            </w:r>
            <w:r w:rsidR="006507CD">
              <w:rPr>
                <w:b/>
              </w:rPr>
              <w:instrText>HYPERLINK  \l "_FCC_Finalizes_Regulatory"</w:instrText>
            </w:r>
            <w:r>
              <w:rPr>
                <w:b/>
              </w:rPr>
              <w:fldChar w:fldCharType="separate"/>
            </w:r>
            <w:r w:rsidR="004A119E">
              <w:rPr>
                <w:rStyle w:val="Hyperlink"/>
                <w:rFonts w:eastAsia="Calibri" w:cs="Times New Roman"/>
                <w:b/>
                <w:szCs w:val="24"/>
              </w:rPr>
              <w:fldChar w:fldCharType="begin"/>
            </w:r>
            <w:r w:rsidR="00E16390">
              <w:rPr>
                <w:rStyle w:val="Hyperlink"/>
                <w:rFonts w:eastAsia="Calibri" w:cs="Times New Roman"/>
                <w:b/>
                <w:szCs w:val="24"/>
              </w:rPr>
              <w:instrText>HYPERLINK  \l "_C-band_Lump_Sum_1"</w:instrText>
            </w:r>
            <w:r w:rsidR="004A119E">
              <w:rPr>
                <w:rStyle w:val="Hyperlink"/>
                <w:rFonts w:eastAsia="Calibri" w:cs="Times New Roman"/>
                <w:b/>
                <w:szCs w:val="24"/>
              </w:rPr>
              <w:fldChar w:fldCharType="separate"/>
            </w:r>
            <w:r w:rsidRPr="004A119E">
              <w:rPr>
                <w:rStyle w:val="Hyperlink"/>
                <w:rFonts w:eastAsia="Calibri" w:cs="Times New Roman"/>
                <w:b/>
                <w:szCs w:val="24"/>
                <w:u w:val="none"/>
              </w:rPr>
              <w:t>September 14, 2020:</w:t>
            </w:r>
            <w:r w:rsidR="00F50601" w:rsidRPr="004A119E">
              <w:rPr>
                <w:rStyle w:val="Hyperlink"/>
                <w:rFonts w:ascii="Calibri Light" w:eastAsia="Calibri" w:hAnsi="Calibri Light" w:cs="Times New Roman"/>
                <w:b/>
                <w:i/>
                <w:sz w:val="32"/>
                <w:szCs w:val="32"/>
                <w:u w:val="none"/>
              </w:rPr>
              <w:t xml:space="preserve"> </w:t>
            </w:r>
            <w:r w:rsidR="00F50601" w:rsidRPr="004A119E">
              <w:rPr>
                <w:rStyle w:val="Hyperlink"/>
                <w:rFonts w:eastAsia="Calibri" w:cs="Times New Roman"/>
                <w:b/>
                <w:i/>
                <w:szCs w:val="24"/>
                <w:u w:val="none"/>
              </w:rPr>
              <w:tab/>
            </w:r>
            <w:r w:rsidRPr="004A119E">
              <w:rPr>
                <w:rStyle w:val="Hyperlink"/>
                <w:rFonts w:eastAsia="Calibri" w:cs="Times New Roman"/>
                <w:szCs w:val="24"/>
              </w:rPr>
              <w:t>C-band Lump Sum Elections Due</w:t>
            </w:r>
          </w:p>
          <w:p w14:paraId="63232095" w14:textId="0495A0B1" w:rsidR="00292E25" w:rsidRPr="00A05952" w:rsidRDefault="004A119E" w:rsidP="00F50601">
            <w:pPr>
              <w:ind w:left="2232" w:hanging="2246"/>
              <w:jc w:val="both"/>
              <w:rPr>
                <w:rStyle w:val="Hyperlink"/>
                <w:rFonts w:eastAsia="Calibri" w:cs="Times New Roman"/>
                <w:szCs w:val="24"/>
              </w:rPr>
            </w:pPr>
            <w:r>
              <w:rPr>
                <w:rStyle w:val="Hyperlink"/>
                <w:rFonts w:eastAsia="Calibri" w:cs="Times New Roman"/>
                <w:b/>
                <w:szCs w:val="24"/>
              </w:rPr>
              <w:fldChar w:fldCharType="end"/>
            </w:r>
            <w:r w:rsidR="00A05952">
              <w:rPr>
                <w:rStyle w:val="Hyperlink"/>
                <w:rFonts w:eastAsia="Calibri" w:cs="Times New Roman"/>
                <w:b/>
                <w:szCs w:val="24"/>
              </w:rPr>
              <w:fldChar w:fldCharType="begin"/>
            </w:r>
            <w:r w:rsidR="00E16390">
              <w:rPr>
                <w:rStyle w:val="Hyperlink"/>
                <w:rFonts w:eastAsia="Calibri" w:cs="Times New Roman"/>
                <w:b/>
                <w:szCs w:val="24"/>
              </w:rPr>
              <w:instrText>HYPERLINK  \l "_Enforcement_Bureau_Issues"</w:instrText>
            </w:r>
            <w:r w:rsidR="00A05952">
              <w:rPr>
                <w:rStyle w:val="Hyperlink"/>
                <w:rFonts w:eastAsia="Calibri" w:cs="Times New Roman"/>
                <w:b/>
                <w:szCs w:val="24"/>
              </w:rPr>
              <w:fldChar w:fldCharType="separate"/>
            </w:r>
            <w:r w:rsidR="00292E25" w:rsidRPr="00A05952">
              <w:rPr>
                <w:rStyle w:val="Hyperlink"/>
                <w:rFonts w:eastAsia="Calibri" w:cs="Times New Roman"/>
                <w:b/>
                <w:szCs w:val="24"/>
                <w:u w:val="none"/>
              </w:rPr>
              <w:t>September 23, 2020:</w:t>
            </w:r>
            <w:r w:rsidR="00F50601" w:rsidRPr="00A05952">
              <w:rPr>
                <w:rStyle w:val="Hyperlink"/>
                <w:b/>
                <w:u w:val="none"/>
              </w:rPr>
              <w:t xml:space="preserve"> </w:t>
            </w:r>
            <w:r w:rsidR="00F50601" w:rsidRPr="00A05952">
              <w:rPr>
                <w:rStyle w:val="Hyperlink"/>
                <w:rFonts w:eastAsia="Calibri" w:cs="Times New Roman"/>
                <w:b/>
                <w:szCs w:val="24"/>
                <w:u w:val="none"/>
              </w:rPr>
              <w:tab/>
            </w:r>
            <w:r w:rsidR="00292E25" w:rsidRPr="00A05952">
              <w:rPr>
                <w:rStyle w:val="Hyperlink"/>
                <w:rFonts w:eastAsia="Calibri" w:cs="Times New Roman"/>
                <w:szCs w:val="24"/>
              </w:rPr>
              <w:t>Deadline for</w:t>
            </w:r>
            <w:r w:rsidR="00292E25" w:rsidRPr="00A05952">
              <w:rPr>
                <w:rStyle w:val="Hyperlink"/>
                <w:rFonts w:eastAsia="Calibri" w:cs="Times New Roman"/>
                <w:b/>
                <w:szCs w:val="24"/>
              </w:rPr>
              <w:t xml:space="preserve"> </w:t>
            </w:r>
            <w:r w:rsidR="00E02759" w:rsidRPr="00E02759">
              <w:rPr>
                <w:rStyle w:val="Hyperlink"/>
                <w:rFonts w:eastAsia="Calibri" w:cs="Times New Roman"/>
                <w:szCs w:val="24"/>
              </w:rPr>
              <w:t>Commercial</w:t>
            </w:r>
            <w:r w:rsidR="00E02759">
              <w:rPr>
                <w:rStyle w:val="Hyperlink"/>
                <w:rFonts w:eastAsia="Calibri" w:cs="Times New Roman"/>
                <w:b/>
                <w:szCs w:val="24"/>
              </w:rPr>
              <w:t xml:space="preserve"> </w:t>
            </w:r>
            <w:r w:rsidR="00292E25" w:rsidRPr="00A05952">
              <w:rPr>
                <w:rStyle w:val="Hyperlink"/>
                <w:rFonts w:eastAsia="Calibri" w:cs="Times New Roman"/>
                <w:szCs w:val="24"/>
              </w:rPr>
              <w:t xml:space="preserve">Radio Stations </w:t>
            </w:r>
            <w:r w:rsidR="00A05952">
              <w:rPr>
                <w:rStyle w:val="Hyperlink"/>
                <w:rFonts w:eastAsia="Calibri" w:cs="Times New Roman"/>
                <w:szCs w:val="24"/>
              </w:rPr>
              <w:t xml:space="preserve">to </w:t>
            </w:r>
            <w:r w:rsidR="00292E25" w:rsidRPr="00A05952">
              <w:rPr>
                <w:rStyle w:val="Hyperlink"/>
                <w:rFonts w:eastAsia="Calibri" w:cs="Times New Roman"/>
                <w:szCs w:val="24"/>
              </w:rPr>
              <w:t xml:space="preserve">Opt-in to RMLC and SESAC License Agreement for </w:t>
            </w:r>
            <w:r w:rsidR="00A05952">
              <w:rPr>
                <w:rStyle w:val="Hyperlink"/>
                <w:rFonts w:eastAsia="Calibri" w:cs="Times New Roman"/>
                <w:szCs w:val="24"/>
              </w:rPr>
              <w:t>Period Covering</w:t>
            </w:r>
            <w:r w:rsidR="00292E25" w:rsidRPr="00A05952">
              <w:rPr>
                <w:rStyle w:val="Hyperlink"/>
                <w:rFonts w:eastAsia="Calibri" w:cs="Times New Roman"/>
                <w:szCs w:val="24"/>
              </w:rPr>
              <w:t xml:space="preserve"> January 1, </w:t>
            </w:r>
            <w:r w:rsidR="00A05952" w:rsidRPr="00A05952">
              <w:rPr>
                <w:rStyle w:val="Hyperlink"/>
                <w:rFonts w:eastAsia="Calibri" w:cs="Times New Roman"/>
                <w:szCs w:val="24"/>
              </w:rPr>
              <w:t>2019, through December 31, 2022</w:t>
            </w:r>
          </w:p>
          <w:p w14:paraId="778D1C55" w14:textId="7C2BB0B4" w:rsidR="00292E25" w:rsidRPr="00F50601" w:rsidRDefault="00A05952" w:rsidP="00F50601">
            <w:pPr>
              <w:ind w:left="2232" w:hanging="2246"/>
              <w:jc w:val="both"/>
              <w:rPr>
                <w:rFonts w:eastAsia="Calibri" w:cs="Times New Roman"/>
                <w:color w:val="0563C1" w:themeColor="hyperlink"/>
                <w:szCs w:val="24"/>
                <w:u w:val="single"/>
              </w:rPr>
            </w:pPr>
            <w:r>
              <w:rPr>
                <w:rStyle w:val="Hyperlink"/>
                <w:rFonts w:eastAsia="Calibri" w:cs="Times New Roman"/>
                <w:b/>
                <w:szCs w:val="24"/>
              </w:rPr>
              <w:fldChar w:fldCharType="end"/>
            </w:r>
            <w:r w:rsidR="0083744B">
              <w:rPr>
                <w:rStyle w:val="Hyperlink"/>
                <w:rFonts w:eastAsia="Calibri" w:cs="Times New Roman"/>
                <w:b/>
                <w:szCs w:val="24"/>
                <w:u w:val="none"/>
              </w:rPr>
              <w:t>September 25</w:t>
            </w:r>
            <w:r w:rsidR="00F50601" w:rsidRPr="00F50601">
              <w:rPr>
                <w:rStyle w:val="Hyperlink"/>
                <w:rFonts w:eastAsia="Calibri" w:cs="Times New Roman"/>
                <w:b/>
                <w:szCs w:val="24"/>
                <w:u w:val="none"/>
              </w:rPr>
              <w:t>, 2020:</w:t>
            </w:r>
            <w:r w:rsidR="00F50601" w:rsidRPr="00F50601">
              <w:rPr>
                <w:rStyle w:val="Hyperlink"/>
                <w:b/>
                <w:u w:val="none"/>
              </w:rPr>
              <w:t xml:space="preserve"> </w:t>
            </w:r>
            <w:r w:rsidR="00F50601" w:rsidRPr="00F50601">
              <w:rPr>
                <w:rStyle w:val="Hyperlink"/>
                <w:rFonts w:eastAsia="Calibri" w:cs="Times New Roman"/>
                <w:b/>
                <w:szCs w:val="24"/>
                <w:u w:val="none"/>
              </w:rPr>
              <w:tab/>
            </w:r>
            <w:r w:rsidR="00F50601" w:rsidRPr="00F50601">
              <w:rPr>
                <w:rStyle w:val="Hyperlink"/>
                <w:rFonts w:eastAsia="Calibri" w:cs="Times New Roman"/>
                <w:szCs w:val="24"/>
              </w:rPr>
              <w:t>FY 2020 Regulatory Fees Due</w:t>
            </w:r>
            <w:r w:rsidR="00292E25" w:rsidRPr="00F50601">
              <w:rPr>
                <w:rStyle w:val="Hyperlink"/>
                <w:rFonts w:eastAsia="Calibri" w:cs="Times New Roman"/>
                <w:szCs w:val="24"/>
              </w:rPr>
              <w:t xml:space="preserve"> </w:t>
            </w:r>
            <w:r w:rsidR="00292E25">
              <w:rPr>
                <w:rStyle w:val="Hyperlink"/>
                <w:rFonts w:eastAsia="Calibri" w:cs="Times New Roman"/>
                <w:szCs w:val="24"/>
              </w:rPr>
              <w:fldChar w:fldCharType="end"/>
            </w:r>
          </w:p>
        </w:tc>
      </w:tr>
    </w:tbl>
    <w:p w14:paraId="41D65502" w14:textId="77777777" w:rsidR="000940D2" w:rsidRPr="000940D2" w:rsidRDefault="000940D2" w:rsidP="000940D2">
      <w:pPr>
        <w:pStyle w:val="Heading1"/>
        <w:rPr>
          <w:rFonts w:eastAsia="Times New Roman"/>
          <w:sz w:val="24"/>
        </w:rPr>
      </w:pPr>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Apparent_Violations_of"/>
      <w:bookmarkStart w:id="19" w:name="_C-band_Lump_Sum"/>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87383D7" w14:textId="48716902" w:rsidR="00E16390" w:rsidRPr="006507CD" w:rsidRDefault="00E16390" w:rsidP="000940D2">
      <w:pPr>
        <w:pStyle w:val="Heading1"/>
        <w:rPr>
          <w:rFonts w:eastAsia="Times New Roman"/>
          <w:b/>
          <w:sz w:val="32"/>
          <w:u w:val="single"/>
        </w:rPr>
      </w:pPr>
      <w:r>
        <w:rPr>
          <w:rFonts w:eastAsia="Times New Roman"/>
          <w:sz w:val="32"/>
        </w:rPr>
        <w:t>FCC Finalizes Regulatory Fee Amounts for Fiscal Year 2020;</w:t>
      </w:r>
      <w:r>
        <w:rPr>
          <w:rFonts w:eastAsia="Times New Roman"/>
          <w:sz w:val="32"/>
        </w:rPr>
        <w:br/>
        <w:t xml:space="preserve">Payments Due by </w:t>
      </w:r>
      <w:r>
        <w:rPr>
          <w:rFonts w:eastAsia="Times New Roman"/>
          <w:b/>
          <w:sz w:val="32"/>
          <w:u w:val="single"/>
        </w:rPr>
        <w:t xml:space="preserve">September </w:t>
      </w:r>
      <w:r w:rsidR="0083744B">
        <w:rPr>
          <w:rFonts w:eastAsia="Times New Roman"/>
          <w:b/>
          <w:sz w:val="32"/>
          <w:u w:val="single"/>
        </w:rPr>
        <w:t>25</w:t>
      </w:r>
      <w:r>
        <w:rPr>
          <w:rFonts w:eastAsia="Times New Roman"/>
          <w:b/>
          <w:sz w:val="32"/>
          <w:u w:val="single"/>
        </w:rPr>
        <w:t>, 2020</w:t>
      </w:r>
    </w:p>
    <w:p w14:paraId="0295C44C" w14:textId="77777777" w:rsidR="00E16390" w:rsidRPr="00382035" w:rsidRDefault="00E16390" w:rsidP="000940D2">
      <w:pPr>
        <w:spacing w:after="0"/>
      </w:pPr>
    </w:p>
    <w:p w14:paraId="79E09BBC" w14:textId="1846A64F" w:rsidR="00E16390" w:rsidRDefault="00AF0CE6" w:rsidP="000940D2">
      <w:pPr>
        <w:autoSpaceDE w:val="0"/>
        <w:autoSpaceDN w:val="0"/>
        <w:adjustRightInd w:val="0"/>
        <w:spacing w:after="0"/>
        <w:ind w:firstLine="720"/>
        <w:jc w:val="both"/>
        <w:rPr>
          <w:rFonts w:eastAsia="Calibri" w:cs="Times New Roman"/>
          <w:iCs/>
          <w:szCs w:val="24"/>
        </w:rPr>
      </w:pPr>
      <w:r>
        <w:rPr>
          <w:rFonts w:eastAsia="Calibri" w:cs="Times New Roman"/>
          <w:iCs/>
          <w:szCs w:val="24"/>
        </w:rPr>
        <w:t xml:space="preserve">The FCC has finalized the regulatory fee amounts broadcasters will be required to pay for Fiscal Year 2020, according to a recently released </w:t>
      </w:r>
      <w:hyperlink r:id="rId8" w:history="1">
        <w:r w:rsidRPr="00AF0CE6">
          <w:rPr>
            <w:rStyle w:val="Hyperlink"/>
            <w:rFonts w:eastAsia="Calibri" w:cs="Times New Roman"/>
            <w:iCs/>
            <w:szCs w:val="24"/>
          </w:rPr>
          <w:t>Report and Order and Further Notice of Proposed Rulemaking</w:t>
        </w:r>
      </w:hyperlink>
      <w:r>
        <w:rPr>
          <w:rFonts w:eastAsia="Calibri" w:cs="Times New Roman"/>
          <w:iCs/>
          <w:szCs w:val="24"/>
        </w:rPr>
        <w:t xml:space="preserve"> (the “Order”)</w:t>
      </w:r>
      <w:r w:rsidR="00E16390" w:rsidRPr="006507CD">
        <w:rPr>
          <w:rFonts w:eastAsia="Calibri" w:cs="Times New Roman"/>
          <w:iCs/>
          <w:szCs w:val="24"/>
        </w:rPr>
        <w:t>.</w:t>
      </w:r>
      <w:r>
        <w:rPr>
          <w:rFonts w:eastAsia="Calibri" w:cs="Times New Roman"/>
          <w:iCs/>
          <w:szCs w:val="24"/>
        </w:rPr>
        <w:t xml:space="preserve">  Despite sustained advocacy from NAB and others requesting that</w:t>
      </w:r>
      <w:r w:rsidR="00283508">
        <w:rPr>
          <w:rFonts w:eastAsia="Calibri" w:cs="Times New Roman"/>
          <w:iCs/>
          <w:szCs w:val="24"/>
        </w:rPr>
        <w:t xml:space="preserve"> the</w:t>
      </w:r>
      <w:r>
        <w:rPr>
          <w:rFonts w:eastAsia="Calibri" w:cs="Times New Roman"/>
          <w:iCs/>
          <w:szCs w:val="24"/>
        </w:rPr>
        <w:t xml:space="preserve"> Commission reconsider and lower the fees proposed for radio broadcasters</w:t>
      </w:r>
      <w:r w:rsidR="00283508">
        <w:rPr>
          <w:rFonts w:eastAsia="Calibri" w:cs="Times New Roman"/>
          <w:iCs/>
          <w:szCs w:val="24"/>
        </w:rPr>
        <w:t>, the FCC declined to</w:t>
      </w:r>
      <w:r w:rsidR="00CA26E8">
        <w:rPr>
          <w:rFonts w:eastAsia="Calibri" w:cs="Times New Roman"/>
          <w:iCs/>
          <w:szCs w:val="24"/>
        </w:rPr>
        <w:t xml:space="preserve"> meaningfully</w:t>
      </w:r>
      <w:r w:rsidR="00283508">
        <w:rPr>
          <w:rFonts w:eastAsia="Calibri" w:cs="Times New Roman"/>
          <w:iCs/>
          <w:szCs w:val="24"/>
        </w:rPr>
        <w:t xml:space="preserve"> alter those</w:t>
      </w:r>
      <w:r>
        <w:rPr>
          <w:rFonts w:eastAsia="Calibri" w:cs="Times New Roman"/>
          <w:iCs/>
          <w:szCs w:val="24"/>
        </w:rPr>
        <w:t xml:space="preserve"> fee amounts.</w:t>
      </w:r>
    </w:p>
    <w:p w14:paraId="20293AF2" w14:textId="5AD52298" w:rsidR="00AF0CE6" w:rsidRDefault="00AF0CE6" w:rsidP="000940D2">
      <w:pPr>
        <w:autoSpaceDE w:val="0"/>
        <w:autoSpaceDN w:val="0"/>
        <w:adjustRightInd w:val="0"/>
        <w:spacing w:after="0"/>
        <w:ind w:firstLine="720"/>
        <w:jc w:val="both"/>
        <w:rPr>
          <w:rFonts w:eastAsia="Calibri" w:cs="Times New Roman"/>
          <w:iCs/>
          <w:szCs w:val="24"/>
        </w:rPr>
      </w:pPr>
    </w:p>
    <w:p w14:paraId="1F088BAA" w14:textId="2A5B5B77" w:rsidR="005E3AF9" w:rsidRPr="005E3AF9" w:rsidRDefault="005E3AF9" w:rsidP="000940D2">
      <w:pPr>
        <w:tabs>
          <w:tab w:val="left" w:pos="720"/>
        </w:tabs>
        <w:spacing w:after="0"/>
        <w:ind w:firstLine="720"/>
        <w:jc w:val="both"/>
      </w:pPr>
      <w:r w:rsidRPr="005E3AF9">
        <w:t>In all, the FCC will collect $339,000,000 from all regulates in FY 20</w:t>
      </w:r>
      <w:r w:rsidR="00283508" w:rsidRPr="00283508">
        <w:t>20</w:t>
      </w:r>
      <w:r w:rsidRPr="005E3AF9">
        <w:t xml:space="preserve"> fees</w:t>
      </w:r>
      <w:r w:rsidR="00C44F74">
        <w:t xml:space="preserve">—the </w:t>
      </w:r>
      <w:r w:rsidR="00283508" w:rsidRPr="00283508">
        <w:t xml:space="preserve">same amount </w:t>
      </w:r>
      <w:r w:rsidRPr="005E3AF9">
        <w:t xml:space="preserve">in regulatory fees </w:t>
      </w:r>
      <w:r w:rsidR="00283508" w:rsidRPr="00283508">
        <w:t xml:space="preserve">as were assessed in </w:t>
      </w:r>
      <w:r w:rsidRPr="005E3AF9">
        <w:t>fiscal year 201</w:t>
      </w:r>
      <w:r w:rsidR="00283508" w:rsidRPr="00283508">
        <w:t>9</w:t>
      </w:r>
      <w:r w:rsidRPr="005E3AF9">
        <w:t xml:space="preserve">.  The Commission’s allocation to the Media Bureau (which includes fees collected from radio, television, cable, and DBS operators) </w:t>
      </w:r>
      <w:r w:rsidR="00283508" w:rsidRPr="00283508">
        <w:t xml:space="preserve">increased from </w:t>
      </w:r>
      <w:r w:rsidR="00C44F74">
        <w:t>35.9% in FY 2019 to 37.3% in FY</w:t>
      </w:r>
      <w:r w:rsidR="00283508" w:rsidRPr="00283508">
        <w:t xml:space="preserve"> 2020</w:t>
      </w:r>
      <w:r w:rsidRPr="005E3AF9">
        <w:t>.</w:t>
      </w:r>
    </w:p>
    <w:p w14:paraId="25E2AB56" w14:textId="77777777" w:rsidR="005E3AF9" w:rsidRPr="005E3AF9" w:rsidRDefault="005E3AF9" w:rsidP="000940D2">
      <w:pPr>
        <w:tabs>
          <w:tab w:val="left" w:pos="720"/>
        </w:tabs>
        <w:spacing w:after="0"/>
        <w:jc w:val="both"/>
        <w:rPr>
          <w:highlight w:val="yellow"/>
        </w:rPr>
      </w:pPr>
    </w:p>
    <w:p w14:paraId="03D3CD06" w14:textId="44D3AF5F" w:rsidR="005E3AF9" w:rsidRPr="005E3AF9" w:rsidRDefault="005E3AF9" w:rsidP="000940D2">
      <w:pPr>
        <w:tabs>
          <w:tab w:val="left" w:pos="720"/>
        </w:tabs>
        <w:spacing w:after="0"/>
        <w:jc w:val="both"/>
        <w:rPr>
          <w:highlight w:val="yellow"/>
        </w:rPr>
      </w:pPr>
      <w:r w:rsidRPr="007243A6">
        <w:rPr>
          <w:i/>
          <w:iCs/>
          <w:color w:val="2E74B5" w:themeColor="accent1" w:themeShade="BF"/>
        </w:rPr>
        <w:t>Regulatory Fee Amounts for Broadcasters</w:t>
      </w:r>
      <w:r w:rsidRPr="005E3AF9">
        <w:t xml:space="preserve">.  Broadcasters may recall that the Commission had proposed </w:t>
      </w:r>
      <w:r w:rsidR="007243A6" w:rsidRPr="007243A6">
        <w:t>regulatory fees for radio stations approximately 4% to 5% higher than the corresponding</w:t>
      </w:r>
      <w:r w:rsidR="007243A6">
        <w:t xml:space="preserve"> FY 2019 fees</w:t>
      </w:r>
      <w:r w:rsidR="007243A6" w:rsidRPr="003C14AE">
        <w:t xml:space="preserve"> and </w:t>
      </w:r>
      <w:r w:rsidR="00CA26E8">
        <w:t>proposed</w:t>
      </w:r>
      <w:r w:rsidR="007243A6">
        <w:t xml:space="preserve"> to </w:t>
      </w:r>
      <w:r w:rsidR="007C6FAA">
        <w:t xml:space="preserve">completely transition to </w:t>
      </w:r>
      <w:r w:rsidR="007243A6">
        <w:t xml:space="preserve">a </w:t>
      </w:r>
      <w:r w:rsidR="007243A6" w:rsidRPr="003C14AE">
        <w:t xml:space="preserve">methodology </w:t>
      </w:r>
      <w:r w:rsidR="007243A6">
        <w:t xml:space="preserve">to calculate </w:t>
      </w:r>
      <w:r w:rsidR="007243A6" w:rsidRPr="003C14AE">
        <w:t>full-</w:t>
      </w:r>
      <w:r w:rsidR="007243A6">
        <w:t>power</w:t>
      </w:r>
      <w:r w:rsidR="007243A6" w:rsidRPr="003C14AE">
        <w:t xml:space="preserve"> televisio</w:t>
      </w:r>
      <w:r w:rsidR="007243A6">
        <w:t>n stations’ regulatory fees based solely on population.</w:t>
      </w:r>
      <w:r w:rsidRPr="005E3AF9">
        <w:rPr>
          <w:highlight w:val="yellow"/>
        </w:rPr>
        <w:t xml:space="preserve"> </w:t>
      </w:r>
    </w:p>
    <w:p w14:paraId="4809B657" w14:textId="13678053" w:rsidR="005E3AF9" w:rsidRPr="005E3AF9" w:rsidRDefault="005E3AF9" w:rsidP="000940D2">
      <w:pPr>
        <w:tabs>
          <w:tab w:val="left" w:pos="720"/>
        </w:tabs>
        <w:spacing w:after="0"/>
        <w:jc w:val="both"/>
      </w:pPr>
      <w:r w:rsidRPr="005E3AF9">
        <w:lastRenderedPageBreak/>
        <w:tab/>
        <w:t xml:space="preserve">The Order </w:t>
      </w:r>
      <w:r w:rsidR="00CA26E8">
        <w:t xml:space="preserve">largely adopts each of those proposals, and in so doing declines requests by NAB and others to calculate regulatory fees in a different manner and to substantially lessen the fee amounts </w:t>
      </w:r>
      <w:r w:rsidR="00C44F74">
        <w:t>assessed to</w:t>
      </w:r>
      <w:r w:rsidR="00CA26E8">
        <w:t xml:space="preserve"> radio broadcasters</w:t>
      </w:r>
      <w:r w:rsidRPr="005E3AF9">
        <w:t xml:space="preserve">. </w:t>
      </w:r>
      <w:r w:rsidR="00C44F74">
        <w:t xml:space="preserve"> Although the Order indicates that the Commission discovered a “computation</w:t>
      </w:r>
      <w:r w:rsidR="008D36EF">
        <w:t>al</w:t>
      </w:r>
      <w:r w:rsidR="00C44F74">
        <w:t xml:space="preserve"> error” in its </w:t>
      </w:r>
      <w:r w:rsidR="007C6FAA">
        <w:t xml:space="preserve">proposed </w:t>
      </w:r>
      <w:r w:rsidR="00C44F74">
        <w:t xml:space="preserve">calculation for radio broadcaster regulatory fees, the corresponding adjustment </w:t>
      </w:r>
      <w:r w:rsidR="00B62C1F">
        <w:t xml:space="preserve">made in the Order </w:t>
      </w:r>
      <w:r w:rsidR="00C44F74">
        <w:t>lowers those fees by only approximately 2.5%.</w:t>
      </w:r>
    </w:p>
    <w:p w14:paraId="37A4F741" w14:textId="77777777" w:rsidR="005E3AF9" w:rsidRPr="005E3AF9" w:rsidRDefault="005E3AF9" w:rsidP="000940D2">
      <w:pPr>
        <w:tabs>
          <w:tab w:val="left" w:pos="720"/>
        </w:tabs>
        <w:spacing w:after="0"/>
        <w:jc w:val="both"/>
        <w:rPr>
          <w:highlight w:val="yellow"/>
        </w:rPr>
      </w:pPr>
    </w:p>
    <w:p w14:paraId="4EAE55AC" w14:textId="344D3968" w:rsidR="005E3AF9" w:rsidRPr="005E3AF9" w:rsidRDefault="005E3AF9" w:rsidP="000940D2">
      <w:pPr>
        <w:tabs>
          <w:tab w:val="left" w:pos="720"/>
        </w:tabs>
        <w:spacing w:after="0"/>
        <w:jc w:val="both"/>
      </w:pPr>
      <w:r w:rsidRPr="005E3AF9">
        <w:tab/>
        <w:t>Attached to this memorandum please find a series of “schedules” that set forth the FY 20</w:t>
      </w:r>
      <w:r w:rsidR="00CA26E8">
        <w:t>20</w:t>
      </w:r>
      <w:r w:rsidRPr="005E3AF9">
        <w:t xml:space="preserve"> regulatory fees of greatest interest to broadcasters: </w:t>
      </w:r>
    </w:p>
    <w:p w14:paraId="11199841" w14:textId="77777777" w:rsidR="005E3AF9" w:rsidRPr="005E3AF9" w:rsidRDefault="005E3AF9" w:rsidP="000940D2">
      <w:pPr>
        <w:tabs>
          <w:tab w:val="left" w:pos="720"/>
        </w:tabs>
        <w:spacing w:after="0"/>
        <w:jc w:val="both"/>
      </w:pPr>
    </w:p>
    <w:p w14:paraId="1DF2B741" w14:textId="48ADE4FA" w:rsidR="005E3AF9" w:rsidRPr="005E3AF9" w:rsidRDefault="00BF5F02" w:rsidP="000940D2">
      <w:pPr>
        <w:numPr>
          <w:ilvl w:val="0"/>
          <w:numId w:val="4"/>
        </w:numPr>
        <w:tabs>
          <w:tab w:val="left" w:pos="720"/>
        </w:tabs>
        <w:spacing w:after="0"/>
        <w:ind w:left="1080"/>
        <w:jc w:val="both"/>
      </w:pPr>
      <w:hyperlink w:anchor="SchedA" w:history="1">
        <w:r w:rsidR="005E3AF9" w:rsidRPr="0000123E">
          <w:rPr>
            <w:color w:val="0563C1" w:themeColor="hyperlink"/>
            <w:u w:val="single"/>
          </w:rPr>
          <w:t>Schedule A</w:t>
        </w:r>
      </w:hyperlink>
      <w:r w:rsidR="005E3AF9" w:rsidRPr="005E3AF9">
        <w:t xml:space="preserve"> contains a table of the FY 20</w:t>
      </w:r>
      <w:r w:rsidR="00571FE2">
        <w:t>20</w:t>
      </w:r>
      <w:r w:rsidR="005E3AF9" w:rsidRPr="005E3AF9">
        <w:t xml:space="preserve"> regulatory fees for radio stations (and, for the sake of comparison, it also includes a table of the final FY 201</w:t>
      </w:r>
      <w:r w:rsidR="00571FE2">
        <w:t>9</w:t>
      </w:r>
      <w:r w:rsidR="005E3AF9" w:rsidRPr="005E3AF9">
        <w:t xml:space="preserve"> fees that r</w:t>
      </w:r>
      <w:r w:rsidR="00327EA0">
        <w:t>adio stations paid last year).</w:t>
      </w:r>
    </w:p>
    <w:p w14:paraId="036CF097" w14:textId="77777777" w:rsidR="005E3AF9" w:rsidRPr="005E3AF9" w:rsidRDefault="005E3AF9" w:rsidP="000940D2">
      <w:pPr>
        <w:tabs>
          <w:tab w:val="left" w:pos="720"/>
        </w:tabs>
        <w:spacing w:after="0"/>
        <w:ind w:left="1080"/>
        <w:jc w:val="both"/>
        <w:rPr>
          <w:highlight w:val="yellow"/>
        </w:rPr>
      </w:pPr>
    </w:p>
    <w:p w14:paraId="05567846" w14:textId="226846E9" w:rsidR="005E3AF9" w:rsidRPr="005E3AF9" w:rsidRDefault="00BF5F02" w:rsidP="000940D2">
      <w:pPr>
        <w:numPr>
          <w:ilvl w:val="0"/>
          <w:numId w:val="4"/>
        </w:numPr>
        <w:tabs>
          <w:tab w:val="left" w:pos="720"/>
        </w:tabs>
        <w:spacing w:after="0"/>
        <w:ind w:left="1080"/>
        <w:jc w:val="both"/>
      </w:pPr>
      <w:hyperlink w:anchor="SchedB" w:history="1">
        <w:r w:rsidR="005E3AF9" w:rsidRPr="00A73820">
          <w:rPr>
            <w:color w:val="0563C1" w:themeColor="hyperlink"/>
            <w:u w:val="single"/>
          </w:rPr>
          <w:t>Schedule B</w:t>
        </w:r>
      </w:hyperlink>
      <w:r w:rsidR="005E3AF9" w:rsidRPr="005E3AF9">
        <w:t xml:space="preserve"> contains a </w:t>
      </w:r>
      <w:r w:rsidR="00A73820">
        <w:t>46</w:t>
      </w:r>
      <w:r w:rsidR="005E3AF9" w:rsidRPr="005E3AF9">
        <w:t xml:space="preserve">-page document </w:t>
      </w:r>
      <w:r w:rsidR="00A73820">
        <w:t xml:space="preserve">detailing </w:t>
      </w:r>
      <w:r w:rsidR="005E3AF9" w:rsidRPr="005E3AF9">
        <w:t xml:space="preserve">the TV regulatory fees </w:t>
      </w:r>
      <w:r w:rsidR="00B62C1F">
        <w:t xml:space="preserve">organized </w:t>
      </w:r>
      <w:r w:rsidR="005E3AF9" w:rsidRPr="005E3AF9">
        <w:t>by station call sign.  As discussed in detail below, the Commission’s methodology for calculating TV stations’</w:t>
      </w:r>
      <w:r w:rsidR="002D6771">
        <w:t xml:space="preserve"> fees has changed.  Please note that this may cause a fairly substantia</w:t>
      </w:r>
      <w:r w:rsidR="005A6D7E">
        <w:t>l deviation between your FY 2020</w:t>
      </w:r>
      <w:r w:rsidR="002D6771">
        <w:t xml:space="preserve"> and FY 20</w:t>
      </w:r>
      <w:r w:rsidR="005A6D7E">
        <w:t>19</w:t>
      </w:r>
      <w:r w:rsidR="002D6771">
        <w:t xml:space="preserve"> regulatory fee payment amounts</w:t>
      </w:r>
      <w:r w:rsidR="005E3AF9" w:rsidRPr="005E3AF9">
        <w:t>.</w:t>
      </w:r>
    </w:p>
    <w:p w14:paraId="6150B75F" w14:textId="77777777" w:rsidR="005E3AF9" w:rsidRPr="005E3AF9" w:rsidRDefault="005E3AF9" w:rsidP="000940D2">
      <w:pPr>
        <w:tabs>
          <w:tab w:val="left" w:pos="720"/>
        </w:tabs>
        <w:spacing w:after="0"/>
        <w:ind w:left="1080"/>
        <w:jc w:val="both"/>
        <w:rPr>
          <w:highlight w:val="yellow"/>
        </w:rPr>
      </w:pPr>
    </w:p>
    <w:p w14:paraId="70979C36" w14:textId="60B91D88" w:rsidR="005E3AF9" w:rsidRPr="005E3AF9" w:rsidRDefault="00BF5F02" w:rsidP="000940D2">
      <w:pPr>
        <w:numPr>
          <w:ilvl w:val="0"/>
          <w:numId w:val="4"/>
        </w:numPr>
        <w:tabs>
          <w:tab w:val="left" w:pos="720"/>
        </w:tabs>
        <w:spacing w:after="0"/>
        <w:ind w:left="1080"/>
        <w:jc w:val="both"/>
      </w:pPr>
      <w:hyperlink w:anchor="SchedC" w:history="1">
        <w:r w:rsidR="005E3AF9" w:rsidRPr="00A73820">
          <w:rPr>
            <w:color w:val="0563C1" w:themeColor="hyperlink"/>
            <w:u w:val="single"/>
          </w:rPr>
          <w:t>Schedule C</w:t>
        </w:r>
      </w:hyperlink>
      <w:r w:rsidR="005E3AF9" w:rsidRPr="005E3AF9">
        <w:t xml:space="preserve"> contains a table of other FY 20</w:t>
      </w:r>
      <w:r w:rsidR="008D36EF" w:rsidRPr="00A73820">
        <w:t>20</w:t>
      </w:r>
      <w:r w:rsidR="005E3AF9" w:rsidRPr="005E3AF9">
        <w:t xml:space="preserve"> regulatory fees that affect broadcasters; it too includes a table of such fees assessed in FY 201</w:t>
      </w:r>
      <w:r w:rsidR="008D36EF" w:rsidRPr="00A73820">
        <w:t>9</w:t>
      </w:r>
      <w:r w:rsidR="005E3AF9" w:rsidRPr="005E3AF9">
        <w:t xml:space="preserve">. </w:t>
      </w:r>
    </w:p>
    <w:p w14:paraId="0350C89E" w14:textId="77777777" w:rsidR="005E3AF9" w:rsidRPr="005E3AF9" w:rsidRDefault="005E3AF9" w:rsidP="000940D2">
      <w:pPr>
        <w:tabs>
          <w:tab w:val="left" w:pos="720"/>
        </w:tabs>
        <w:spacing w:after="0"/>
        <w:jc w:val="both"/>
        <w:rPr>
          <w:iCs/>
          <w:color w:val="2E74B5" w:themeColor="accent1" w:themeShade="BF"/>
          <w:highlight w:val="yellow"/>
        </w:rPr>
      </w:pPr>
    </w:p>
    <w:p w14:paraId="4D2D18C2" w14:textId="4139416D" w:rsidR="005E3AF9" w:rsidRPr="0000123E" w:rsidRDefault="005E3AF9" w:rsidP="000940D2">
      <w:pPr>
        <w:tabs>
          <w:tab w:val="left" w:pos="720"/>
        </w:tabs>
        <w:spacing w:after="0"/>
        <w:jc w:val="both"/>
        <w:rPr>
          <w:iCs/>
        </w:rPr>
      </w:pPr>
      <w:r w:rsidRPr="0000123E">
        <w:rPr>
          <w:i/>
          <w:iCs/>
          <w:color w:val="2E74B5" w:themeColor="accent1" w:themeShade="BF"/>
        </w:rPr>
        <w:t xml:space="preserve">Change in Methodology for Television Broadcast Stations.  </w:t>
      </w:r>
      <w:r w:rsidR="0000123E" w:rsidRPr="0000123E">
        <w:rPr>
          <w:iCs/>
        </w:rPr>
        <w:t xml:space="preserve">Prior to FY 2019, </w:t>
      </w:r>
      <w:r w:rsidRPr="0000123E">
        <w:rPr>
          <w:iCs/>
        </w:rPr>
        <w:t xml:space="preserve">television broadcast stations paid regulatory fees based on the market they serve, as defined by Nielsen Designated Market Areas (DMAs).  Last year, </w:t>
      </w:r>
      <w:r w:rsidR="0000123E" w:rsidRPr="0000123E">
        <w:rPr>
          <w:iCs/>
        </w:rPr>
        <w:t xml:space="preserve">however, </w:t>
      </w:r>
      <w:r w:rsidRPr="0000123E">
        <w:rPr>
          <w:iCs/>
        </w:rPr>
        <w:t xml:space="preserve">the FCC adopted a new methodology for how regulatory fees would be assessed for full-power broadcast television stations in </w:t>
      </w:r>
      <w:r w:rsidR="005A6D7E">
        <w:rPr>
          <w:iCs/>
        </w:rPr>
        <w:t xml:space="preserve">FY </w:t>
      </w:r>
      <w:r w:rsidRPr="0000123E">
        <w:rPr>
          <w:iCs/>
        </w:rPr>
        <w:t>2019 and beyond.  The new methodology bases calculations on the actual population served by the station’s noise limited service contour (“NLSC”), instead of DMAs.  In order to facilitate the transiti</w:t>
      </w:r>
      <w:r w:rsidR="008E191D">
        <w:rPr>
          <w:iCs/>
        </w:rPr>
        <w:t>on to the new fee structure, last year’s</w:t>
      </w:r>
      <w:r w:rsidRPr="0000123E">
        <w:rPr>
          <w:iCs/>
        </w:rPr>
        <w:t xml:space="preserve"> FY 2019 regulatory fees t</w:t>
      </w:r>
      <w:r w:rsidR="0000123E" w:rsidRPr="0000123E">
        <w:rPr>
          <w:iCs/>
        </w:rPr>
        <w:t>ook</w:t>
      </w:r>
      <w:r w:rsidRPr="0000123E">
        <w:rPr>
          <w:iCs/>
        </w:rPr>
        <w:t xml:space="preserve"> </w:t>
      </w:r>
      <w:r w:rsidR="0000123E" w:rsidRPr="0000123E">
        <w:rPr>
          <w:iCs/>
        </w:rPr>
        <w:t xml:space="preserve">a “blended” approach to assessing television regulatory fees, i.e., the FY 2019 fees took </w:t>
      </w:r>
      <w:r w:rsidR="0000123E">
        <w:rPr>
          <w:iCs/>
        </w:rPr>
        <w:t xml:space="preserve">into account both DMA </w:t>
      </w:r>
      <w:r w:rsidRPr="0000123E">
        <w:rPr>
          <w:iCs/>
        </w:rPr>
        <w:t xml:space="preserve">size and the actual population covered by the station, based on the station’s NLSC.  </w:t>
      </w:r>
    </w:p>
    <w:p w14:paraId="561BAFA2" w14:textId="77777777" w:rsidR="005E3AF9" w:rsidRPr="0000123E" w:rsidRDefault="005E3AF9" w:rsidP="000940D2">
      <w:pPr>
        <w:tabs>
          <w:tab w:val="left" w:pos="720"/>
        </w:tabs>
        <w:spacing w:after="0"/>
        <w:jc w:val="both"/>
        <w:rPr>
          <w:iCs/>
        </w:rPr>
      </w:pPr>
    </w:p>
    <w:p w14:paraId="7F2DAC92" w14:textId="01AEF87B" w:rsidR="005E3AF9" w:rsidRPr="0000123E" w:rsidRDefault="005E3AF9" w:rsidP="000940D2">
      <w:pPr>
        <w:tabs>
          <w:tab w:val="left" w:pos="720"/>
        </w:tabs>
        <w:spacing w:after="0"/>
        <w:jc w:val="both"/>
        <w:rPr>
          <w:iCs/>
        </w:rPr>
      </w:pPr>
      <w:r w:rsidRPr="0000123E">
        <w:rPr>
          <w:iCs/>
        </w:rPr>
        <w:tab/>
      </w:r>
      <w:r w:rsidR="0000123E" w:rsidRPr="0000123E">
        <w:rPr>
          <w:iCs/>
        </w:rPr>
        <w:t xml:space="preserve">For FY 2020 (and going forward), the Order indicates that the FCC has now fully transitioned to </w:t>
      </w:r>
      <w:r w:rsidR="0000123E">
        <w:rPr>
          <w:iCs/>
        </w:rPr>
        <w:t xml:space="preserve">assessing television regulatory fees based on </w:t>
      </w:r>
      <w:r w:rsidR="0000123E" w:rsidRPr="0000123E">
        <w:rPr>
          <w:iCs/>
        </w:rPr>
        <w:t>the actual-populatio</w:t>
      </w:r>
      <w:r w:rsidR="0044538F">
        <w:rPr>
          <w:iCs/>
        </w:rPr>
        <w:t>n methodology</w:t>
      </w:r>
      <w:r w:rsidR="0044538F">
        <w:rPr>
          <w:iCs/>
          <w:szCs w:val="24"/>
        </w:rPr>
        <w:t xml:space="preserve">, </w:t>
      </w:r>
      <w:r w:rsidRPr="0000123E">
        <w:rPr>
          <w:iCs/>
          <w:szCs w:val="24"/>
        </w:rPr>
        <w:t>which is calculated using the population covered by the station’s projected NLSC, multiplied by a factor of $.007</w:t>
      </w:r>
      <w:r w:rsidR="0000123E" w:rsidRPr="0000123E">
        <w:rPr>
          <w:iCs/>
          <w:szCs w:val="24"/>
        </w:rPr>
        <w:t>837</w:t>
      </w:r>
      <w:r w:rsidR="00044ACD">
        <w:rPr>
          <w:iCs/>
          <w:szCs w:val="24"/>
        </w:rPr>
        <w:t xml:space="preserve"> for FY 2020</w:t>
      </w:r>
      <w:r w:rsidR="0044538F">
        <w:rPr>
          <w:iCs/>
          <w:szCs w:val="24"/>
        </w:rPr>
        <w:t xml:space="preserve"> (the multiplication “factor” is reassessed each year and is </w:t>
      </w:r>
      <w:r w:rsidR="0044538F" w:rsidRPr="0044538F">
        <w:rPr>
          <w:iCs/>
          <w:szCs w:val="24"/>
        </w:rPr>
        <w:t>equal to the revenue amount required from all television fee categories divided by the total population count of all feeable call signs</w:t>
      </w:r>
      <w:r w:rsidRPr="0000123E">
        <w:rPr>
          <w:iCs/>
          <w:szCs w:val="24"/>
        </w:rPr>
        <w:t>)</w:t>
      </w:r>
      <w:r w:rsidR="00726DAC">
        <w:rPr>
          <w:iCs/>
          <w:szCs w:val="24"/>
        </w:rPr>
        <w:t>.</w:t>
      </w:r>
    </w:p>
    <w:p w14:paraId="16424B43" w14:textId="77777777" w:rsidR="005E3AF9" w:rsidRPr="005E3AF9" w:rsidRDefault="005E3AF9" w:rsidP="000940D2">
      <w:pPr>
        <w:tabs>
          <w:tab w:val="left" w:pos="720"/>
        </w:tabs>
        <w:spacing w:after="0"/>
        <w:jc w:val="both"/>
        <w:rPr>
          <w:rFonts w:asciiTheme="minorHAnsi" w:hAnsiTheme="minorHAnsi"/>
          <w:sz w:val="22"/>
        </w:rPr>
      </w:pPr>
    </w:p>
    <w:p w14:paraId="084E0450" w14:textId="72161B46" w:rsidR="005E3AF9" w:rsidRDefault="005E3AF9" w:rsidP="000940D2">
      <w:pPr>
        <w:tabs>
          <w:tab w:val="left" w:pos="720"/>
        </w:tabs>
        <w:spacing w:after="0"/>
        <w:jc w:val="both"/>
        <w:rPr>
          <w:iCs/>
        </w:rPr>
      </w:pPr>
      <w:r w:rsidRPr="005E3AF9">
        <w:rPr>
          <w:rFonts w:asciiTheme="minorHAnsi" w:hAnsiTheme="minorHAnsi"/>
          <w:sz w:val="22"/>
        </w:rPr>
        <w:tab/>
      </w:r>
      <w:r w:rsidRPr="005E3AF9">
        <w:rPr>
          <w:rFonts w:cs="Times New Roman"/>
        </w:rPr>
        <w:t xml:space="preserve">The </w:t>
      </w:r>
      <w:r w:rsidR="000903B9" w:rsidRPr="000903B9">
        <w:rPr>
          <w:rFonts w:cs="Times New Roman"/>
        </w:rPr>
        <w:t>46</w:t>
      </w:r>
      <w:r w:rsidRPr="005E3AF9">
        <w:rPr>
          <w:rFonts w:cs="Times New Roman"/>
        </w:rPr>
        <w:t xml:space="preserve">-page </w:t>
      </w:r>
      <w:r w:rsidR="00FD1D46">
        <w:rPr>
          <w:rFonts w:cs="Times New Roman"/>
        </w:rPr>
        <w:t xml:space="preserve">document attached as “Schedule B” to </w:t>
      </w:r>
      <w:r w:rsidRPr="005E3AF9">
        <w:rPr>
          <w:rFonts w:cs="Times New Roman"/>
        </w:rPr>
        <w:t xml:space="preserve">this memo lists, </w:t>
      </w:r>
      <w:r w:rsidRPr="000903B9">
        <w:rPr>
          <w:iCs/>
          <w:szCs w:val="24"/>
        </w:rPr>
        <w:t>by TV station</w:t>
      </w:r>
      <w:r w:rsidRPr="000903B9">
        <w:rPr>
          <w:iCs/>
        </w:rPr>
        <w:t xml:space="preserve"> call sign, the population data, </w:t>
      </w:r>
      <w:r w:rsidR="000903B9" w:rsidRPr="000903B9">
        <w:rPr>
          <w:iCs/>
        </w:rPr>
        <w:t xml:space="preserve">and </w:t>
      </w:r>
      <w:r w:rsidRPr="000903B9">
        <w:rPr>
          <w:iCs/>
        </w:rPr>
        <w:t xml:space="preserve">the resulting </w:t>
      </w:r>
      <w:r w:rsidR="00FD1D46">
        <w:rPr>
          <w:iCs/>
        </w:rPr>
        <w:t>population-based</w:t>
      </w:r>
      <w:r w:rsidR="000903B9" w:rsidRPr="000903B9">
        <w:rPr>
          <w:iCs/>
        </w:rPr>
        <w:t xml:space="preserve"> </w:t>
      </w:r>
      <w:r w:rsidRPr="000903B9">
        <w:rPr>
          <w:iCs/>
        </w:rPr>
        <w:t xml:space="preserve">regulatory </w:t>
      </w:r>
      <w:r w:rsidR="000903B9" w:rsidRPr="000903B9">
        <w:rPr>
          <w:iCs/>
        </w:rPr>
        <w:t xml:space="preserve">fee for FY 2020 </w:t>
      </w:r>
      <w:r w:rsidRPr="000903B9">
        <w:rPr>
          <w:iCs/>
        </w:rPr>
        <w:t xml:space="preserve">for each full-power broadcast television station, including each satellite station. </w:t>
      </w:r>
      <w:r w:rsidRPr="005E3AF9">
        <w:rPr>
          <w:rFonts w:cs="Times New Roman"/>
        </w:rPr>
        <w:t xml:space="preserve"> The same information can also be found in the Order’s </w:t>
      </w:r>
      <w:r w:rsidRPr="000903B9">
        <w:rPr>
          <w:szCs w:val="24"/>
        </w:rPr>
        <w:t xml:space="preserve">Appendix </w:t>
      </w:r>
      <w:r w:rsidR="000903B9" w:rsidRPr="000903B9">
        <w:rPr>
          <w:szCs w:val="24"/>
        </w:rPr>
        <w:t>G</w:t>
      </w:r>
      <w:r w:rsidRPr="000903B9">
        <w:rPr>
          <w:iCs/>
        </w:rPr>
        <w:t>.  Note that, for so</w:t>
      </w:r>
      <w:r w:rsidR="00726DAC">
        <w:rPr>
          <w:iCs/>
        </w:rPr>
        <w:t xml:space="preserve">me stations, the fee </w:t>
      </w:r>
      <w:r w:rsidR="00FD1D46">
        <w:rPr>
          <w:iCs/>
        </w:rPr>
        <w:t xml:space="preserve">amount </w:t>
      </w:r>
      <w:r w:rsidR="00726DAC">
        <w:rPr>
          <w:iCs/>
        </w:rPr>
        <w:t>for FY 2020</w:t>
      </w:r>
      <w:r w:rsidRPr="000903B9">
        <w:rPr>
          <w:iCs/>
        </w:rPr>
        <w:t xml:space="preserve"> is </w:t>
      </w:r>
      <w:r w:rsidR="00FD1D46">
        <w:rPr>
          <w:iCs/>
        </w:rPr>
        <w:t>substantially different than the</w:t>
      </w:r>
      <w:r w:rsidR="00380E34">
        <w:rPr>
          <w:iCs/>
        </w:rPr>
        <w:t xml:space="preserve"> fee amount for </w:t>
      </w:r>
      <w:r w:rsidR="00726DAC">
        <w:rPr>
          <w:iCs/>
        </w:rPr>
        <w:t>FY 2019</w:t>
      </w:r>
      <w:r w:rsidR="00621786">
        <w:rPr>
          <w:iCs/>
        </w:rPr>
        <w:t>.</w:t>
      </w:r>
    </w:p>
    <w:p w14:paraId="7BE1B8F1" w14:textId="64074A4C" w:rsidR="00621786" w:rsidRDefault="00621786" w:rsidP="000940D2">
      <w:pPr>
        <w:tabs>
          <w:tab w:val="left" w:pos="720"/>
        </w:tabs>
        <w:spacing w:after="0"/>
        <w:jc w:val="both"/>
        <w:rPr>
          <w:iCs/>
        </w:rPr>
      </w:pPr>
    </w:p>
    <w:p w14:paraId="4F3B1C62" w14:textId="25811C68" w:rsidR="00647F02" w:rsidRDefault="00621786" w:rsidP="000940D2">
      <w:pPr>
        <w:tabs>
          <w:tab w:val="left" w:pos="720"/>
        </w:tabs>
        <w:spacing w:after="0"/>
        <w:jc w:val="both"/>
      </w:pPr>
      <w:r>
        <w:rPr>
          <w:i/>
          <w:iCs/>
          <w:color w:val="2E74B5" w:themeColor="accent1" w:themeShade="BF"/>
        </w:rPr>
        <w:t>Payment Flexibility in Light of the COVID-19 Pandemic</w:t>
      </w:r>
      <w:r w:rsidRPr="005E3AF9">
        <w:t xml:space="preserve">.  </w:t>
      </w:r>
      <w:r w:rsidR="00647F02">
        <w:t>Although the Commission declined to meaningfully l</w:t>
      </w:r>
      <w:r w:rsidR="00380E34">
        <w:t>ower</w:t>
      </w:r>
      <w:r w:rsidR="00647F02">
        <w:t xml:space="preserve"> or defer regulatory fee payments for FY 2020,</w:t>
      </w:r>
      <w:r w:rsidRPr="005E3AF9">
        <w:t xml:space="preserve"> </w:t>
      </w:r>
      <w:r w:rsidR="00647F02">
        <w:t xml:space="preserve">the Order </w:t>
      </w:r>
      <w:r w:rsidR="00380E34">
        <w:t>adopt</w:t>
      </w:r>
      <w:r w:rsidR="00DA6379">
        <w:t>s</w:t>
      </w:r>
      <w:r w:rsidR="00647F02">
        <w:t xml:space="preserve"> </w:t>
      </w:r>
      <w:r w:rsidR="00503AB7">
        <w:t xml:space="preserve">several other </w:t>
      </w:r>
      <w:r w:rsidR="00503AB7">
        <w:lastRenderedPageBreak/>
        <w:t xml:space="preserve">forms of relief intended to </w:t>
      </w:r>
      <w:r w:rsidR="00647F02">
        <w:t>assist regulatees (including broadcasters) who have been financially harmed by the COVID-19 pandemic</w:t>
      </w:r>
      <w:r w:rsidR="00AA5090">
        <w:t>, including the following</w:t>
      </w:r>
      <w:r w:rsidR="00647F02">
        <w:t>:</w:t>
      </w:r>
    </w:p>
    <w:p w14:paraId="57AD36F5" w14:textId="77777777" w:rsidR="00647F02" w:rsidRPr="00647F02" w:rsidRDefault="00647F02" w:rsidP="000940D2">
      <w:pPr>
        <w:tabs>
          <w:tab w:val="left" w:pos="720"/>
        </w:tabs>
        <w:spacing w:after="0"/>
        <w:jc w:val="both"/>
        <w:rPr>
          <w:rFonts w:cs="Times New Roman"/>
          <w:szCs w:val="24"/>
        </w:rPr>
      </w:pPr>
    </w:p>
    <w:p w14:paraId="3B87509A" w14:textId="5E4BC503" w:rsidR="00621786" w:rsidRDefault="00647F02" w:rsidP="000940D2">
      <w:pPr>
        <w:pStyle w:val="ListParagraph"/>
        <w:numPr>
          <w:ilvl w:val="0"/>
          <w:numId w:val="4"/>
        </w:numPr>
        <w:tabs>
          <w:tab w:val="left" w:pos="720"/>
        </w:tabs>
        <w:spacing w:after="0" w:line="240" w:lineRule="auto"/>
        <w:contextualSpacing w:val="0"/>
        <w:jc w:val="both"/>
        <w:rPr>
          <w:rFonts w:ascii="Times New Roman" w:hAnsi="Times New Roman" w:cs="Times New Roman"/>
          <w:sz w:val="24"/>
          <w:szCs w:val="24"/>
        </w:rPr>
      </w:pPr>
      <w:r w:rsidRPr="00647F02">
        <w:rPr>
          <w:rFonts w:ascii="Times New Roman" w:hAnsi="Times New Roman" w:cs="Times New Roman"/>
          <w:sz w:val="24"/>
          <w:szCs w:val="24"/>
        </w:rPr>
        <w:t xml:space="preserve">The </w:t>
      </w:r>
      <w:r>
        <w:rPr>
          <w:rFonts w:ascii="Times New Roman" w:hAnsi="Times New Roman" w:cs="Times New Roman"/>
          <w:sz w:val="24"/>
          <w:szCs w:val="24"/>
        </w:rPr>
        <w:t>FCC will not require separate filings for requests for fee waivers</w:t>
      </w:r>
      <w:r w:rsidR="00503AB7">
        <w:rPr>
          <w:rFonts w:ascii="Times New Roman" w:hAnsi="Times New Roman" w:cs="Times New Roman"/>
          <w:sz w:val="24"/>
          <w:szCs w:val="24"/>
        </w:rPr>
        <w:t>,</w:t>
      </w:r>
      <w:r>
        <w:rPr>
          <w:rFonts w:ascii="Times New Roman" w:hAnsi="Times New Roman" w:cs="Times New Roman"/>
          <w:sz w:val="24"/>
          <w:szCs w:val="24"/>
        </w:rPr>
        <w:t xml:space="preserve"> </w:t>
      </w:r>
      <w:r w:rsidR="00503AB7">
        <w:rPr>
          <w:rFonts w:ascii="Times New Roman" w:hAnsi="Times New Roman" w:cs="Times New Roman"/>
          <w:sz w:val="24"/>
          <w:szCs w:val="24"/>
        </w:rPr>
        <w:t xml:space="preserve">reductions, </w:t>
      </w:r>
      <w:r>
        <w:rPr>
          <w:rFonts w:ascii="Times New Roman" w:hAnsi="Times New Roman" w:cs="Times New Roman"/>
          <w:sz w:val="24"/>
          <w:szCs w:val="24"/>
        </w:rPr>
        <w:t>deferrals</w:t>
      </w:r>
      <w:r w:rsidR="00503AB7">
        <w:rPr>
          <w:rFonts w:ascii="Times New Roman" w:hAnsi="Times New Roman" w:cs="Times New Roman"/>
          <w:sz w:val="24"/>
          <w:szCs w:val="24"/>
        </w:rPr>
        <w:t>, or extended payment terms (i.e., installment payment requests)</w:t>
      </w:r>
      <w:r>
        <w:rPr>
          <w:rFonts w:ascii="Times New Roman" w:hAnsi="Times New Roman" w:cs="Times New Roman"/>
          <w:sz w:val="24"/>
          <w:szCs w:val="24"/>
        </w:rPr>
        <w:t xml:space="preserve"> for financial hardship, and instead will accept single </w:t>
      </w:r>
      <w:r w:rsidR="00503AB7">
        <w:rPr>
          <w:rFonts w:ascii="Times New Roman" w:hAnsi="Times New Roman" w:cs="Times New Roman"/>
          <w:sz w:val="24"/>
          <w:szCs w:val="24"/>
        </w:rPr>
        <w:t xml:space="preserve">submissions requesting any combination (or all) of the foregoing </w:t>
      </w:r>
      <w:r>
        <w:rPr>
          <w:rFonts w:ascii="Times New Roman" w:hAnsi="Times New Roman" w:cs="Times New Roman"/>
          <w:sz w:val="24"/>
          <w:szCs w:val="24"/>
        </w:rPr>
        <w:t xml:space="preserve">forms of relief.  Such requests may be submitted electronically to </w:t>
      </w:r>
      <w:hyperlink r:id="rId9" w:history="1">
        <w:r w:rsidRPr="00647F02">
          <w:rPr>
            <w:rStyle w:val="Hyperlink"/>
            <w:rFonts w:ascii="Times New Roman" w:hAnsi="Times New Roman" w:cs="Times New Roman"/>
            <w:sz w:val="24"/>
            <w:szCs w:val="24"/>
          </w:rPr>
          <w:t>2020regfeerelief@fcc.gov</w:t>
        </w:r>
      </w:hyperlink>
      <w:r>
        <w:rPr>
          <w:rFonts w:ascii="Times New Roman" w:hAnsi="Times New Roman" w:cs="Times New Roman"/>
          <w:sz w:val="24"/>
          <w:szCs w:val="24"/>
        </w:rPr>
        <w:t>.</w:t>
      </w:r>
    </w:p>
    <w:p w14:paraId="1BD1DC95" w14:textId="77777777" w:rsidR="000940D2" w:rsidRPr="00647F02" w:rsidRDefault="000940D2" w:rsidP="000940D2">
      <w:pPr>
        <w:pStyle w:val="ListParagraph"/>
        <w:tabs>
          <w:tab w:val="left" w:pos="720"/>
        </w:tabs>
        <w:spacing w:after="0" w:line="240" w:lineRule="auto"/>
        <w:ind w:left="1440"/>
        <w:contextualSpacing w:val="0"/>
        <w:jc w:val="both"/>
        <w:rPr>
          <w:rFonts w:ascii="Times New Roman" w:hAnsi="Times New Roman" w:cs="Times New Roman"/>
          <w:sz w:val="24"/>
          <w:szCs w:val="24"/>
        </w:rPr>
      </w:pPr>
    </w:p>
    <w:p w14:paraId="510C9341" w14:textId="4FD811C5" w:rsidR="00647F02" w:rsidRDefault="00647F02" w:rsidP="000940D2">
      <w:pPr>
        <w:pStyle w:val="ListParagraph"/>
        <w:numPr>
          <w:ilvl w:val="0"/>
          <w:numId w:val="4"/>
        </w:numPr>
        <w:tabs>
          <w:tab w:val="left" w:pos="720"/>
        </w:tabs>
        <w:spacing w:after="0" w:line="240" w:lineRule="auto"/>
        <w:contextualSpacing w:val="0"/>
        <w:jc w:val="both"/>
        <w:rPr>
          <w:rFonts w:ascii="Times New Roman" w:hAnsi="Times New Roman" w:cs="Times New Roman"/>
          <w:sz w:val="24"/>
          <w:szCs w:val="24"/>
        </w:rPr>
      </w:pPr>
      <w:r w:rsidRPr="00647F02">
        <w:rPr>
          <w:rFonts w:ascii="Times New Roman" w:hAnsi="Times New Roman" w:cs="Times New Roman"/>
          <w:sz w:val="24"/>
          <w:szCs w:val="24"/>
        </w:rPr>
        <w:t>T</w:t>
      </w:r>
      <w:r w:rsidR="008B5D08">
        <w:rPr>
          <w:rFonts w:ascii="Times New Roman" w:hAnsi="Times New Roman" w:cs="Times New Roman"/>
          <w:sz w:val="24"/>
          <w:szCs w:val="24"/>
        </w:rPr>
        <w:t xml:space="preserve">he Order reduces the interest rate the Commission charges on installment payments to </w:t>
      </w:r>
      <w:r w:rsidR="00AD7109">
        <w:rPr>
          <w:rFonts w:ascii="Times New Roman" w:hAnsi="Times New Roman" w:cs="Times New Roman"/>
          <w:sz w:val="24"/>
          <w:szCs w:val="24"/>
        </w:rPr>
        <w:t>a</w:t>
      </w:r>
      <w:r w:rsidR="00387700">
        <w:rPr>
          <w:rFonts w:ascii="Times New Roman" w:hAnsi="Times New Roman" w:cs="Times New Roman"/>
          <w:sz w:val="24"/>
          <w:szCs w:val="24"/>
        </w:rPr>
        <w:t>n unspecified</w:t>
      </w:r>
      <w:r w:rsidR="00717D76">
        <w:rPr>
          <w:rFonts w:ascii="Times New Roman" w:hAnsi="Times New Roman" w:cs="Times New Roman"/>
          <w:sz w:val="24"/>
          <w:szCs w:val="24"/>
        </w:rPr>
        <w:t xml:space="preserve"> “nominal rate</w:t>
      </w:r>
      <w:r w:rsidR="008B5D08">
        <w:rPr>
          <w:rFonts w:ascii="Times New Roman" w:hAnsi="Times New Roman" w:cs="Times New Roman"/>
          <w:sz w:val="24"/>
          <w:szCs w:val="24"/>
        </w:rPr>
        <w:t>,</w:t>
      </w:r>
      <w:r w:rsidR="00717D76">
        <w:rPr>
          <w:rFonts w:ascii="Times New Roman" w:hAnsi="Times New Roman" w:cs="Times New Roman"/>
          <w:sz w:val="24"/>
          <w:szCs w:val="24"/>
        </w:rPr>
        <w:t>”</w:t>
      </w:r>
      <w:r w:rsidR="008B5D08">
        <w:rPr>
          <w:rFonts w:ascii="Times New Roman" w:hAnsi="Times New Roman" w:cs="Times New Roman"/>
          <w:sz w:val="24"/>
          <w:szCs w:val="24"/>
        </w:rPr>
        <w:t xml:space="preserve"> and waives the typical requirement to provide a down payment in order to be eli</w:t>
      </w:r>
      <w:r w:rsidR="000940D2">
        <w:rPr>
          <w:rFonts w:ascii="Times New Roman" w:hAnsi="Times New Roman" w:cs="Times New Roman"/>
          <w:sz w:val="24"/>
          <w:szCs w:val="24"/>
        </w:rPr>
        <w:t>gible for installment payments.</w:t>
      </w:r>
    </w:p>
    <w:p w14:paraId="02F6D23F" w14:textId="4DC16FDE" w:rsidR="000940D2" w:rsidRPr="000940D2" w:rsidRDefault="000940D2" w:rsidP="000940D2">
      <w:pPr>
        <w:tabs>
          <w:tab w:val="left" w:pos="720"/>
        </w:tabs>
        <w:spacing w:after="0"/>
        <w:jc w:val="both"/>
        <w:rPr>
          <w:rFonts w:cs="Times New Roman"/>
          <w:szCs w:val="24"/>
        </w:rPr>
      </w:pPr>
    </w:p>
    <w:p w14:paraId="5D880E38" w14:textId="1EE9C0EA" w:rsidR="00647F02" w:rsidRDefault="008B5D08" w:rsidP="000940D2">
      <w:pPr>
        <w:pStyle w:val="ListParagraph"/>
        <w:numPr>
          <w:ilvl w:val="0"/>
          <w:numId w:val="4"/>
        </w:numPr>
        <w:tabs>
          <w:tab w:val="left" w:pos="720"/>
        </w:tabs>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In recognition of the fact that “demonstrating financial hardship caused by the pandemic may require different financial documentation than the documentation the Commission has traditionally accepted,” the Order directs the Managing Director</w:t>
      </w:r>
      <w:r w:rsidR="00BA38F3">
        <w:rPr>
          <w:rFonts w:ascii="Times New Roman" w:hAnsi="Times New Roman" w:cs="Times New Roman"/>
          <w:sz w:val="24"/>
          <w:szCs w:val="24"/>
        </w:rPr>
        <w:t xml:space="preserve"> (who is responsible for the administration and management of the FCC)</w:t>
      </w:r>
      <w:r>
        <w:rPr>
          <w:rFonts w:ascii="Times New Roman" w:hAnsi="Times New Roman" w:cs="Times New Roman"/>
          <w:sz w:val="24"/>
          <w:szCs w:val="24"/>
        </w:rPr>
        <w:t xml:space="preserve"> to “work with individual[s]” who request relief to obtain any additional documents necessary to render a decision on the request.</w:t>
      </w:r>
    </w:p>
    <w:p w14:paraId="089A81CA" w14:textId="5BCD62D3" w:rsidR="000940D2" w:rsidRPr="000940D2" w:rsidRDefault="000940D2" w:rsidP="000940D2">
      <w:pPr>
        <w:tabs>
          <w:tab w:val="left" w:pos="720"/>
        </w:tabs>
        <w:spacing w:after="0"/>
        <w:jc w:val="both"/>
        <w:rPr>
          <w:rFonts w:cs="Times New Roman"/>
          <w:szCs w:val="24"/>
        </w:rPr>
      </w:pPr>
    </w:p>
    <w:p w14:paraId="512BF757" w14:textId="2B13403F" w:rsidR="00621786" w:rsidRDefault="00647F02" w:rsidP="000940D2">
      <w:pPr>
        <w:pStyle w:val="ListParagraph"/>
        <w:numPr>
          <w:ilvl w:val="0"/>
          <w:numId w:val="4"/>
        </w:numPr>
        <w:tabs>
          <w:tab w:val="left" w:pos="720"/>
        </w:tabs>
        <w:spacing w:after="0" w:line="240" w:lineRule="auto"/>
        <w:contextualSpacing w:val="0"/>
        <w:jc w:val="both"/>
      </w:pPr>
      <w:r w:rsidRPr="007F4B66">
        <w:rPr>
          <w:rFonts w:ascii="Times New Roman" w:hAnsi="Times New Roman" w:cs="Times New Roman"/>
          <w:sz w:val="24"/>
          <w:szCs w:val="24"/>
        </w:rPr>
        <w:t>T</w:t>
      </w:r>
      <w:r w:rsidR="00AA5090" w:rsidRPr="007F4B66">
        <w:rPr>
          <w:rFonts w:ascii="Times New Roman" w:hAnsi="Times New Roman" w:cs="Times New Roman"/>
          <w:sz w:val="24"/>
          <w:szCs w:val="24"/>
        </w:rPr>
        <w:t>he Order partially waives the FCC’s</w:t>
      </w:r>
      <w:r w:rsidR="00AA5090" w:rsidRPr="007F4B66">
        <w:rPr>
          <w:rFonts w:ascii="Times New Roman" w:eastAsia="Calibri" w:hAnsi="Times New Roman" w:cs="Times New Roman"/>
          <w:sz w:val="24"/>
          <w:szCs w:val="24"/>
        </w:rPr>
        <w:t xml:space="preserve"> “</w:t>
      </w:r>
      <w:r w:rsidR="00AA5090" w:rsidRPr="007F4B66">
        <w:rPr>
          <w:rFonts w:ascii="Times New Roman" w:hAnsi="Times New Roman" w:cs="Times New Roman"/>
          <w:sz w:val="24"/>
          <w:szCs w:val="24"/>
        </w:rPr>
        <w:t>red light” rule by giving the Managing Director discretion to permit regulatees with outstanding debts owed to the Commission to nonetheless request waivers, reductions, deferrals, and installment payment terms for FY 2020 fees</w:t>
      </w:r>
      <w:r w:rsidR="00CE2A8F" w:rsidRPr="007F4B66">
        <w:rPr>
          <w:rFonts w:ascii="Times New Roman" w:hAnsi="Times New Roman" w:cs="Times New Roman"/>
          <w:sz w:val="24"/>
          <w:szCs w:val="24"/>
        </w:rPr>
        <w:t>.  (Please note, however, that regulatees for whom the red light rule is waived will be required to resolve all delinquent debt</w:t>
      </w:r>
      <w:r w:rsidR="006755C4">
        <w:rPr>
          <w:rFonts w:ascii="Times New Roman" w:hAnsi="Times New Roman" w:cs="Times New Roman"/>
          <w:sz w:val="24"/>
          <w:szCs w:val="24"/>
        </w:rPr>
        <w:t xml:space="preserve"> currently owed</w:t>
      </w:r>
      <w:r w:rsidR="007F4B66" w:rsidRPr="007F4B66">
        <w:rPr>
          <w:rFonts w:ascii="Times New Roman" w:hAnsi="Times New Roman" w:cs="Times New Roman"/>
          <w:sz w:val="24"/>
          <w:szCs w:val="24"/>
        </w:rPr>
        <w:t xml:space="preserve"> by one of the several methods outlined in the Order</w:t>
      </w:r>
      <w:r w:rsidR="00CE2A8F" w:rsidRPr="007F4B66">
        <w:rPr>
          <w:rFonts w:ascii="Times New Roman" w:hAnsi="Times New Roman" w:cs="Times New Roman"/>
          <w:sz w:val="24"/>
          <w:szCs w:val="24"/>
        </w:rPr>
        <w:t>.</w:t>
      </w:r>
      <w:r w:rsidR="007F4B66" w:rsidRPr="007F4B66">
        <w:rPr>
          <w:rFonts w:ascii="Times New Roman" w:hAnsi="Times New Roman" w:cs="Times New Roman"/>
          <w:sz w:val="24"/>
          <w:szCs w:val="24"/>
        </w:rPr>
        <w:t>)</w:t>
      </w:r>
    </w:p>
    <w:p w14:paraId="0CA867F0" w14:textId="77777777" w:rsidR="00FC4270" w:rsidRDefault="00FC4270" w:rsidP="006E2FDA">
      <w:pPr>
        <w:pStyle w:val="ListParagraph"/>
        <w:spacing w:after="0"/>
      </w:pPr>
    </w:p>
    <w:p w14:paraId="1C947539" w14:textId="0A6D6804" w:rsidR="00FC4270" w:rsidRDefault="00FC4270" w:rsidP="00FC4270">
      <w:pPr>
        <w:tabs>
          <w:tab w:val="left" w:pos="720"/>
        </w:tabs>
        <w:spacing w:after="0"/>
        <w:jc w:val="both"/>
      </w:pPr>
      <w:r>
        <w:tab/>
        <w:t xml:space="preserve">Further information regarding how to apply for the forms of relief set forth above </w:t>
      </w:r>
      <w:r w:rsidR="001B1AF1">
        <w:t xml:space="preserve">(and the documentation applicants are recommended to submit) </w:t>
      </w:r>
      <w:r>
        <w:t xml:space="preserve">are described in a recently issued </w:t>
      </w:r>
      <w:hyperlink r:id="rId10" w:history="1">
        <w:r w:rsidRPr="00FC4270">
          <w:rPr>
            <w:rStyle w:val="Hyperlink"/>
          </w:rPr>
          <w:t>Public Notice</w:t>
        </w:r>
      </w:hyperlink>
      <w:r w:rsidR="006E2FDA">
        <w:t>. Among other things, please note that a</w:t>
      </w:r>
      <w:r w:rsidR="006E2FDA" w:rsidRPr="006E2FDA">
        <w:t xml:space="preserve"> request for waiver or reduct</w:t>
      </w:r>
      <w:r w:rsidR="006E2FDA">
        <w:t>ion of a FY 2020 regulatory fee</w:t>
      </w:r>
      <w:r w:rsidR="006E2FDA" w:rsidRPr="006E2FDA">
        <w:t xml:space="preserve"> based on financial hardship must be filed on or before </w:t>
      </w:r>
      <w:r w:rsidR="006E2FDA">
        <w:t xml:space="preserve">the payment deadline of </w:t>
      </w:r>
      <w:r w:rsidR="006E2FDA" w:rsidRPr="006E2FDA">
        <w:t>September 25, 2020</w:t>
      </w:r>
      <w:r w:rsidR="006E2FDA">
        <w:t>.</w:t>
      </w:r>
    </w:p>
    <w:p w14:paraId="1BBE9FE9" w14:textId="14808FDD" w:rsidR="000940D2" w:rsidRPr="007F4B66" w:rsidRDefault="000940D2" w:rsidP="000940D2">
      <w:pPr>
        <w:tabs>
          <w:tab w:val="left" w:pos="720"/>
        </w:tabs>
        <w:spacing w:after="0"/>
        <w:jc w:val="both"/>
      </w:pPr>
    </w:p>
    <w:p w14:paraId="3726B70A" w14:textId="7EA1F727" w:rsidR="005E3AF9" w:rsidRPr="005E3AF9" w:rsidRDefault="005E3AF9" w:rsidP="000940D2">
      <w:pPr>
        <w:tabs>
          <w:tab w:val="left" w:pos="720"/>
        </w:tabs>
        <w:spacing w:after="0"/>
        <w:jc w:val="both"/>
      </w:pPr>
      <w:r w:rsidRPr="000903B9">
        <w:rPr>
          <w:i/>
          <w:iCs/>
          <w:color w:val="2E74B5" w:themeColor="accent1" w:themeShade="BF"/>
        </w:rPr>
        <w:t>Payments By Check Will Not Be Accepted</w:t>
      </w:r>
      <w:r w:rsidRPr="005E3AF9">
        <w:t>.  The Commission will not accept regulatory fee payment by check (including cashier’s checks and money orders) or by hardcopy “remittanc</w:t>
      </w:r>
      <w:r w:rsidR="007D6226">
        <w:t>e advice” forms (e.g., FCC Forms</w:t>
      </w:r>
      <w:r w:rsidRPr="005E3AF9">
        <w:t xml:space="preserve"> 159, 159-B, 159-E, 159-W).  Instead, all payments must be made by wire transfer or online via ACH (Automated Clearing House) payment, or credit card.  Other forms of payment will be rejected.  We will provide further payment procedure details as we get closer to the </w:t>
      </w:r>
      <w:r w:rsidR="000903B9">
        <w:rPr>
          <w:b/>
        </w:rPr>
        <w:t xml:space="preserve">September </w:t>
      </w:r>
      <w:r w:rsidR="0083744B">
        <w:rPr>
          <w:b/>
        </w:rPr>
        <w:t>25</w:t>
      </w:r>
      <w:r w:rsidRPr="005E3AF9">
        <w:rPr>
          <w:b/>
        </w:rPr>
        <w:t>, 20</w:t>
      </w:r>
      <w:r w:rsidR="000903B9">
        <w:rPr>
          <w:b/>
        </w:rPr>
        <w:t>20</w:t>
      </w:r>
      <w:r w:rsidRPr="005E3AF9">
        <w:t xml:space="preserve">, payment deadline.  </w:t>
      </w:r>
    </w:p>
    <w:p w14:paraId="6348C7F5" w14:textId="77777777" w:rsidR="005E3AF9" w:rsidRPr="005E3AF9" w:rsidRDefault="005E3AF9" w:rsidP="000940D2">
      <w:pPr>
        <w:tabs>
          <w:tab w:val="left" w:pos="720"/>
        </w:tabs>
        <w:spacing w:after="0"/>
        <w:jc w:val="both"/>
        <w:rPr>
          <w:highlight w:val="yellow"/>
        </w:rPr>
      </w:pPr>
    </w:p>
    <w:p w14:paraId="7A2BED39" w14:textId="1AF22505" w:rsidR="005E3AF9" w:rsidRPr="005E3AF9" w:rsidRDefault="005E3AF9" w:rsidP="000940D2">
      <w:pPr>
        <w:tabs>
          <w:tab w:val="left" w:pos="720"/>
        </w:tabs>
        <w:spacing w:after="0"/>
        <w:jc w:val="both"/>
      </w:pPr>
      <w:r w:rsidRPr="0000123E">
        <w:rPr>
          <w:i/>
          <w:iCs/>
          <w:color w:val="2E74B5" w:themeColor="accent1" w:themeShade="BF"/>
        </w:rPr>
        <w:t>Late Payment Penalty.</w:t>
      </w:r>
      <w:r w:rsidRPr="005E3AF9">
        <w:t xml:space="preserve">  </w:t>
      </w:r>
      <w:r w:rsidR="0000123E" w:rsidRPr="0000123E">
        <w:t xml:space="preserve">Although multiple parties urged the FCC to waive the customary late payment penalty of 25%, the </w:t>
      </w:r>
      <w:r w:rsidRPr="005E3AF9">
        <w:t xml:space="preserve">FCC </w:t>
      </w:r>
      <w:r w:rsidR="0000123E" w:rsidRPr="0000123E">
        <w:t xml:space="preserve">declined the </w:t>
      </w:r>
      <w:r w:rsidR="005D2A09">
        <w:t>request</w:t>
      </w:r>
      <w:r w:rsidR="0000123E" w:rsidRPr="0000123E">
        <w:t xml:space="preserve"> to do so.  On the first day following the deadline for paying the FY 2020 fees, regulatees will be assessed a late payment penalty of </w:t>
      </w:r>
      <w:r w:rsidRPr="005E3AF9">
        <w:t>25% of any unpaid amount of regulatory fees owed</w:t>
      </w:r>
      <w:r w:rsidR="00AD1467">
        <w:t>, and will begin accumulating interest on both the 25% penalty amount and the unpaid amount of regulatory fees owed</w:t>
      </w:r>
      <w:r w:rsidR="0000123E" w:rsidRPr="0000123E">
        <w:t>.</w:t>
      </w:r>
      <w:r w:rsidRPr="005E3AF9">
        <w:t xml:space="preserve"> </w:t>
      </w:r>
    </w:p>
    <w:p w14:paraId="0238A124" w14:textId="77777777" w:rsidR="005E3AF9" w:rsidRPr="005E3AF9" w:rsidRDefault="005E3AF9" w:rsidP="000940D2">
      <w:pPr>
        <w:tabs>
          <w:tab w:val="left" w:pos="720"/>
        </w:tabs>
        <w:spacing w:after="0"/>
        <w:jc w:val="both"/>
      </w:pPr>
    </w:p>
    <w:p w14:paraId="518A9840" w14:textId="77777777" w:rsidR="005E3AF9" w:rsidRPr="005E3AF9" w:rsidRDefault="005E3AF9" w:rsidP="000940D2">
      <w:pPr>
        <w:tabs>
          <w:tab w:val="left" w:pos="720"/>
        </w:tabs>
        <w:spacing w:after="0"/>
        <w:jc w:val="both"/>
      </w:pPr>
      <w:r w:rsidRPr="0000123E">
        <w:rPr>
          <w:i/>
          <w:iCs/>
          <w:color w:val="2E74B5" w:themeColor="accent1" w:themeShade="BF"/>
        </w:rPr>
        <w:t>Maximum Credit Card Transaction Level.</w:t>
      </w:r>
      <w:r w:rsidRPr="005E3AF9">
        <w:t xml:space="preserve">  As has been the case for several years now, the maximum amount that can be charged on a credit card for transactions with federal agencies</w:t>
      </w:r>
      <w:r w:rsidRPr="005E3AF9">
        <w:rPr>
          <w:rFonts w:cs="Times New Roman"/>
        </w:rPr>
        <w:t>—</w:t>
      </w:r>
      <w:r w:rsidRPr="005E3AF9">
        <w:lastRenderedPageBreak/>
        <w:t>including the FCC</w:t>
      </w:r>
      <w:r w:rsidRPr="005E3AF9">
        <w:rPr>
          <w:rFonts w:cs="Times New Roman"/>
        </w:rPr>
        <w:t>—is</w:t>
      </w:r>
      <w:r w:rsidRPr="005E3AF9">
        <w:t xml:space="preserve"> $24,999.99.  Attempted transactions for amounts greater than $24,999.99 will be rejected.  This limit applies to single payments, divided payments, and to combined payments of more than one bill.  </w:t>
      </w:r>
    </w:p>
    <w:p w14:paraId="4CFFB59B" w14:textId="77777777" w:rsidR="005E3AF9" w:rsidRPr="005E3AF9" w:rsidRDefault="005E3AF9" w:rsidP="000940D2">
      <w:pPr>
        <w:tabs>
          <w:tab w:val="left" w:pos="720"/>
        </w:tabs>
        <w:spacing w:after="0"/>
        <w:jc w:val="both"/>
      </w:pPr>
    </w:p>
    <w:p w14:paraId="08E6CA70" w14:textId="722FAB80" w:rsidR="005E3AF9" w:rsidRPr="005E3AF9" w:rsidRDefault="005E3AF9" w:rsidP="000940D2">
      <w:pPr>
        <w:tabs>
          <w:tab w:val="left" w:pos="720"/>
        </w:tabs>
        <w:spacing w:after="0"/>
        <w:jc w:val="both"/>
        <w:rPr>
          <w:u w:val="single"/>
        </w:rPr>
      </w:pPr>
      <w:r w:rsidRPr="005E3AF9">
        <w:tab/>
        <w:t xml:space="preserve">In other words, the FCC will aggregate multiple transactions attempted on one credit card on one day and treat them as a single transaction subject to the $24,999.99 limit, and the FCC will not permit a broadcast licensee to divide a transaction over multiple days in order to create smaller payments that would fall below the $24,999.99 limit each day.  </w:t>
      </w:r>
      <w:r w:rsidRPr="005E3AF9">
        <w:rPr>
          <w:u w:val="single"/>
        </w:rPr>
        <w:t>Thus, broadcasters who need to pay an amount greater than $24,999.99 will need to use debit cards (Visa or MasterCard) or make payment by ACH or wire transfer</w:t>
      </w:r>
      <w:r w:rsidR="0000123E" w:rsidRPr="0000123E">
        <w:t>.</w:t>
      </w:r>
    </w:p>
    <w:p w14:paraId="18F0D6F9" w14:textId="77777777" w:rsidR="005E3AF9" w:rsidRPr="005E3AF9" w:rsidRDefault="005E3AF9" w:rsidP="000940D2">
      <w:pPr>
        <w:tabs>
          <w:tab w:val="left" w:pos="720"/>
        </w:tabs>
        <w:spacing w:after="0"/>
        <w:ind w:firstLine="720"/>
        <w:jc w:val="both"/>
        <w:rPr>
          <w:i/>
          <w:iCs/>
          <w:color w:val="2E74B5" w:themeColor="accent1" w:themeShade="BF"/>
          <w:highlight w:val="yellow"/>
        </w:rPr>
      </w:pPr>
    </w:p>
    <w:p w14:paraId="77E64858" w14:textId="04447F18" w:rsidR="005E3AF9" w:rsidRPr="00AE0413" w:rsidRDefault="005E3AF9" w:rsidP="000940D2">
      <w:pPr>
        <w:tabs>
          <w:tab w:val="left" w:pos="720"/>
        </w:tabs>
        <w:spacing w:after="0"/>
        <w:jc w:val="both"/>
      </w:pPr>
      <w:r w:rsidRPr="00621786">
        <w:rPr>
          <w:i/>
          <w:iCs/>
          <w:color w:val="2E74B5" w:themeColor="accent1" w:themeShade="BF"/>
        </w:rPr>
        <w:t>Limited Exemption for De Minimis Regulatory Fees</w:t>
      </w:r>
      <w:r w:rsidRPr="005E3AF9">
        <w:t>.  The FCC exempts regulated entities from paying regulatory fees when their total fee obligation is considered “</w:t>
      </w:r>
      <w:r w:rsidRPr="005E3AF9">
        <w:rPr>
          <w:i/>
        </w:rPr>
        <w:t>de minimis</w:t>
      </w:r>
      <w:r w:rsidRPr="005E3AF9">
        <w:t xml:space="preserve">.”  The </w:t>
      </w:r>
      <w:r w:rsidRPr="005E3AF9">
        <w:rPr>
          <w:i/>
        </w:rPr>
        <w:t>de minimis</w:t>
      </w:r>
      <w:r w:rsidRPr="005E3AF9">
        <w:t xml:space="preserve"> threshold is currently $1,000.  This means that broadcasters (and other regulated entities) whose total FY 20</w:t>
      </w:r>
      <w:r w:rsidR="00621786" w:rsidRPr="00621786">
        <w:t>20</w:t>
      </w:r>
      <w:r w:rsidRPr="005E3AF9">
        <w:t xml:space="preserve"> annual regulatory fee liability is $1,000 or less a</w:t>
      </w:r>
      <w:r w:rsidR="00621786" w:rsidRPr="00621786">
        <w:t>re exempt from payment of FY 2020</w:t>
      </w:r>
      <w:r w:rsidRPr="005E3AF9">
        <w:t xml:space="preserve"> regulatory fees.  The </w:t>
      </w:r>
      <w:r w:rsidRPr="005E3AF9">
        <w:rPr>
          <w:i/>
        </w:rPr>
        <w:t>de minimis</w:t>
      </w:r>
      <w:r w:rsidRPr="005E3AF9">
        <w:t xml:space="preserve"> threshold applies only to filers of annual regulatory fees.  Each licensee must reevaluate its total fee liability each fiscal year to determine whether its meets the </w:t>
      </w:r>
      <w:r w:rsidRPr="005E3AF9">
        <w:rPr>
          <w:i/>
        </w:rPr>
        <w:t>de minimis</w:t>
      </w:r>
      <w:r w:rsidRPr="005E3AF9">
        <w:t xml:space="preserve"> exemption in any particular year.</w:t>
      </w:r>
      <w:bookmarkStart w:id="20" w:name="_Toc285458174"/>
      <w:bookmarkStart w:id="21" w:name="_Toc289263537"/>
      <w:bookmarkStart w:id="22" w:name="_Toc292177325"/>
      <w:bookmarkStart w:id="23" w:name="_Toc296691765"/>
      <w:bookmarkStart w:id="24" w:name="_Toc297116985"/>
      <w:bookmarkStart w:id="25" w:name="_Toc298752213"/>
      <w:bookmarkStart w:id="26" w:name="_Toc299091578"/>
      <w:bookmarkStart w:id="27" w:name="_Toc319681890"/>
      <w:bookmarkStart w:id="28" w:name="_Toc320103197"/>
      <w:bookmarkStart w:id="29" w:name="_Toc320615947"/>
      <w:bookmarkStart w:id="30" w:name="_Toc320616365"/>
      <w:bookmarkStart w:id="31" w:name="_Toc320616504"/>
      <w:bookmarkStart w:id="32" w:name="_Toc320632325"/>
      <w:bookmarkStart w:id="33" w:name="_Toc320632358"/>
      <w:bookmarkStart w:id="34" w:name="_Toc320639465"/>
      <w:bookmarkStart w:id="35" w:name="_Toc321130264"/>
      <w:bookmarkStart w:id="36" w:name="_Toc321301166"/>
      <w:bookmarkStart w:id="37" w:name="_Toc327344922"/>
      <w:bookmarkStart w:id="38" w:name="_Toc327454762"/>
      <w:bookmarkStart w:id="39" w:name="_Toc328052405"/>
      <w:bookmarkStart w:id="40" w:name="_Toc330473856"/>
      <w:bookmarkStart w:id="41" w:name="_Toc390878810"/>
      <w:bookmarkStart w:id="42" w:name="_Toc391364440"/>
      <w:bookmarkStart w:id="43" w:name="_Toc394672320"/>
      <w:bookmarkStart w:id="44" w:name="_Toc397078336"/>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38C375A8" w14:textId="77777777" w:rsidR="00E16390" w:rsidRPr="00417456" w:rsidRDefault="00E16390" w:rsidP="000940D2">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461DCDC1" w14:textId="77777777" w:rsidR="000940D2" w:rsidRPr="000940D2" w:rsidRDefault="000940D2" w:rsidP="000940D2">
      <w:pPr>
        <w:pStyle w:val="Heading1"/>
        <w:rPr>
          <w:rFonts w:eastAsia="Times New Roman"/>
          <w:sz w:val="24"/>
        </w:rPr>
      </w:pPr>
      <w:bookmarkStart w:id="45" w:name="_C-band_Lump_Sum_1"/>
      <w:bookmarkEnd w:id="45"/>
    </w:p>
    <w:p w14:paraId="79BE5B9D" w14:textId="68BA1754" w:rsidR="009539AE" w:rsidRPr="004A119E" w:rsidRDefault="004A119E" w:rsidP="000940D2">
      <w:pPr>
        <w:pStyle w:val="Heading1"/>
        <w:rPr>
          <w:rFonts w:eastAsia="Times New Roman"/>
          <w:sz w:val="32"/>
        </w:rPr>
      </w:pPr>
      <w:r>
        <w:rPr>
          <w:rFonts w:eastAsia="Times New Roman"/>
          <w:sz w:val="32"/>
        </w:rPr>
        <w:t xml:space="preserve">C-band Lump Sum Elections Due </w:t>
      </w:r>
      <w:r>
        <w:rPr>
          <w:rFonts w:eastAsia="Times New Roman"/>
          <w:b/>
          <w:sz w:val="32"/>
          <w:u w:val="single"/>
        </w:rPr>
        <w:t>September 14, 2020,</w:t>
      </w:r>
      <w:r>
        <w:rPr>
          <w:rFonts w:eastAsia="Times New Roman"/>
          <w:sz w:val="32"/>
        </w:rPr>
        <w:t xml:space="preserve"> for Qualifying Incumbent Earth Stations</w:t>
      </w:r>
      <w:r>
        <w:rPr>
          <w:rFonts w:eastAsia="Times New Roman"/>
          <w:sz w:val="32"/>
        </w:rPr>
        <w:br/>
        <w:t xml:space="preserve">*Things to Consider </w:t>
      </w:r>
      <w:r w:rsidR="000C44F1">
        <w:rPr>
          <w:rFonts w:eastAsia="Times New Roman"/>
          <w:sz w:val="32"/>
        </w:rPr>
        <w:t>When</w:t>
      </w:r>
      <w:r>
        <w:rPr>
          <w:rFonts w:eastAsia="Times New Roman"/>
          <w:sz w:val="32"/>
        </w:rPr>
        <w:t xml:space="preserve"> Decid</w:t>
      </w:r>
      <w:r w:rsidR="000C44F1">
        <w:rPr>
          <w:rFonts w:eastAsia="Times New Roman"/>
          <w:sz w:val="32"/>
        </w:rPr>
        <w:t>ing</w:t>
      </w:r>
      <w:r>
        <w:rPr>
          <w:rFonts w:eastAsia="Times New Roman"/>
          <w:sz w:val="32"/>
        </w:rPr>
        <w:t xml:space="preserve"> Whether or Not to Elect*</w:t>
      </w:r>
    </w:p>
    <w:p w14:paraId="0DD871E1" w14:textId="77777777" w:rsidR="009539AE" w:rsidRPr="00382035" w:rsidRDefault="009539AE" w:rsidP="000940D2">
      <w:pPr>
        <w:spacing w:after="0"/>
      </w:pPr>
    </w:p>
    <w:p w14:paraId="1A251D6D" w14:textId="257C0038" w:rsidR="009539AE" w:rsidRDefault="009B383D" w:rsidP="000940D2">
      <w:pPr>
        <w:autoSpaceDE w:val="0"/>
        <w:autoSpaceDN w:val="0"/>
        <w:adjustRightInd w:val="0"/>
        <w:spacing w:after="0"/>
        <w:ind w:firstLine="720"/>
        <w:jc w:val="both"/>
        <w:rPr>
          <w:rFonts w:eastAsia="Calibri" w:cs="Times New Roman"/>
          <w:szCs w:val="24"/>
        </w:rPr>
      </w:pPr>
      <w:r>
        <w:rPr>
          <w:rFonts w:eastAsia="Calibri" w:cs="Times New Roman"/>
          <w:szCs w:val="24"/>
        </w:rPr>
        <w:t>With</w:t>
      </w:r>
      <w:r w:rsidR="007C4C67">
        <w:rPr>
          <w:rFonts w:eastAsia="Calibri" w:cs="Times New Roman"/>
          <w:szCs w:val="24"/>
        </w:rPr>
        <w:t xml:space="preserve"> less than two weeks until the Monday, </w:t>
      </w:r>
      <w:r w:rsidR="007C4C67">
        <w:rPr>
          <w:rFonts w:eastAsia="Calibri" w:cs="Times New Roman"/>
          <w:b/>
          <w:szCs w:val="24"/>
        </w:rPr>
        <w:t>September 14, 2020</w:t>
      </w:r>
      <w:r w:rsidR="007C4C67" w:rsidRPr="007C4C67">
        <w:rPr>
          <w:rFonts w:eastAsia="Calibri" w:cs="Times New Roman"/>
          <w:szCs w:val="24"/>
        </w:rPr>
        <w:t>,</w:t>
      </w:r>
      <w:r w:rsidR="007C4C67">
        <w:rPr>
          <w:rFonts w:eastAsia="Calibri" w:cs="Times New Roman"/>
          <w:b/>
          <w:szCs w:val="24"/>
        </w:rPr>
        <w:t xml:space="preserve"> </w:t>
      </w:r>
      <w:r w:rsidR="007C4C67">
        <w:rPr>
          <w:rFonts w:eastAsia="Calibri" w:cs="Times New Roman"/>
          <w:szCs w:val="24"/>
        </w:rPr>
        <w:t>deadline</w:t>
      </w:r>
      <w:r w:rsidR="00C60EA9">
        <w:rPr>
          <w:rFonts w:eastAsia="Calibri" w:cs="Times New Roman"/>
          <w:szCs w:val="24"/>
        </w:rPr>
        <w:t xml:space="preserve"> </w:t>
      </w:r>
      <w:r w:rsidR="000026AF">
        <w:rPr>
          <w:rFonts w:eastAsia="Calibri" w:cs="Times New Roman"/>
          <w:szCs w:val="24"/>
        </w:rPr>
        <w:t>by which all</w:t>
      </w:r>
      <w:r w:rsidR="002764C0">
        <w:rPr>
          <w:rFonts w:eastAsia="Calibri" w:cs="Times New Roman"/>
          <w:szCs w:val="24"/>
        </w:rPr>
        <w:t xml:space="preserve"> registrants and </w:t>
      </w:r>
      <w:r w:rsidR="007C4C67">
        <w:rPr>
          <w:rFonts w:eastAsia="Calibri" w:cs="Times New Roman"/>
          <w:szCs w:val="24"/>
        </w:rPr>
        <w:t xml:space="preserve">licensees of qualifying incumbent earth stations must determine whether or not to elect lump sum reimbursement for </w:t>
      </w:r>
      <w:r w:rsidR="002764C0">
        <w:rPr>
          <w:rFonts w:eastAsia="Calibri" w:cs="Times New Roman"/>
          <w:szCs w:val="24"/>
        </w:rPr>
        <w:t xml:space="preserve">the costs they will incur as part of </w:t>
      </w:r>
      <w:r w:rsidR="007C4C67">
        <w:rPr>
          <w:rFonts w:eastAsia="Calibri" w:cs="Times New Roman"/>
          <w:szCs w:val="24"/>
        </w:rPr>
        <w:t>the impending C-band transition, we wish to provide you with several important items you may wish to consider</w:t>
      </w:r>
      <w:r w:rsidR="00EE703A">
        <w:rPr>
          <w:rFonts w:eastAsia="Calibri" w:cs="Times New Roman"/>
          <w:szCs w:val="24"/>
        </w:rPr>
        <w:t xml:space="preserve"> in making your decision</w:t>
      </w:r>
      <w:r w:rsidR="007C4C67">
        <w:rPr>
          <w:rFonts w:eastAsia="Calibri" w:cs="Times New Roman"/>
          <w:szCs w:val="24"/>
        </w:rPr>
        <w:t>.</w:t>
      </w:r>
    </w:p>
    <w:p w14:paraId="36C26A0A" w14:textId="325C37AE" w:rsidR="007C4C67" w:rsidRDefault="007C4C67" w:rsidP="000940D2">
      <w:pPr>
        <w:autoSpaceDE w:val="0"/>
        <w:autoSpaceDN w:val="0"/>
        <w:adjustRightInd w:val="0"/>
        <w:spacing w:after="0"/>
        <w:jc w:val="both"/>
        <w:rPr>
          <w:rFonts w:eastAsia="Calibri" w:cs="Times New Roman"/>
          <w:szCs w:val="24"/>
        </w:rPr>
      </w:pPr>
    </w:p>
    <w:p w14:paraId="16D0DB9D" w14:textId="5A27344E" w:rsidR="007C4C67" w:rsidRDefault="007C4C67" w:rsidP="000940D2">
      <w:pPr>
        <w:autoSpaceDE w:val="0"/>
        <w:autoSpaceDN w:val="0"/>
        <w:adjustRightInd w:val="0"/>
        <w:spacing w:after="0"/>
        <w:jc w:val="both"/>
      </w:pPr>
      <w:r w:rsidRPr="009D5F93">
        <w:rPr>
          <w:rFonts w:eastAsia="Calibri" w:cs="Times New Roman"/>
          <w:i/>
          <w:color w:val="2E74B5" w:themeColor="accent1" w:themeShade="BF"/>
        </w:rPr>
        <w:t>Background</w:t>
      </w:r>
      <w:r>
        <w:rPr>
          <w:rFonts w:eastAsia="Calibri" w:cs="Times New Roman"/>
        </w:rPr>
        <w:t xml:space="preserve">.  </w:t>
      </w:r>
      <w:r w:rsidR="006E7E8B">
        <w:t>W</w:t>
      </w:r>
      <w:r>
        <w:t xml:space="preserve">e’ve recently written to you multiple times about the C-band—the </w:t>
      </w:r>
      <w:r w:rsidRPr="00D33649">
        <w:t>swath of spectrum between 3.7 and 4.2 GHz, a large portion of which the Commission will make available via a public auction for new terrestrial wireless uses</w:t>
      </w:r>
      <w:r>
        <w:t>.  (If you would like us to resend any of our prior memoranda on the subject, each of which contains additional background on the proceeding, please let us know.)  Currently, registrants and licensees of qualifying</w:t>
      </w:r>
      <w:r w:rsidR="00A238A0">
        <w:t>,</w:t>
      </w:r>
      <w:r>
        <w:t xml:space="preserve"> incumbent earth stations (i.e., those that are eligible for reimbursement) face a </w:t>
      </w:r>
      <w:r>
        <w:rPr>
          <w:b/>
        </w:rPr>
        <w:t>September 14, 2020</w:t>
      </w:r>
      <w:r>
        <w:t xml:space="preserve">, </w:t>
      </w:r>
      <w:r w:rsidRPr="007C4C67">
        <w:t xml:space="preserve">deadline by which </w:t>
      </w:r>
      <w:r>
        <w:t xml:space="preserve">to either (1) </w:t>
      </w:r>
      <w:r w:rsidRPr="007C4C67">
        <w:t>elect to receive a lump</w:t>
      </w:r>
      <w:r w:rsidR="00A238A0">
        <w:t xml:space="preserve"> </w:t>
      </w:r>
      <w:r w:rsidRPr="007C4C67">
        <w:t xml:space="preserve">sum payment </w:t>
      </w:r>
      <w:r w:rsidR="006E7E8B">
        <w:t>to cover the average, estimated costs of transitioning</w:t>
      </w:r>
      <w:r>
        <w:t xml:space="preserve"> all of their qualifying, incumbent earth stations, or (2) </w:t>
      </w:r>
      <w:r w:rsidR="00A238A0">
        <w:t>forego the lump sum payment in favor of</w:t>
      </w:r>
      <w:r>
        <w:t xml:space="preserve"> remain</w:t>
      </w:r>
      <w:r w:rsidR="00A238A0">
        <w:t>ing</w:t>
      </w:r>
      <w:r>
        <w:t xml:space="preserve"> eligible for reimbursement of the </w:t>
      </w:r>
      <w:r w:rsidRPr="007C4C67">
        <w:t xml:space="preserve">actual, </w:t>
      </w:r>
      <w:r>
        <w:t>reasonable costs of</w:t>
      </w:r>
      <w:r w:rsidRPr="007C4C67">
        <w:t xml:space="preserve"> relocating </w:t>
      </w:r>
      <w:r>
        <w:t xml:space="preserve">their qualifying, </w:t>
      </w:r>
      <w:r w:rsidRPr="007C4C67">
        <w:t>incumbent earth stations</w:t>
      </w:r>
      <w:r w:rsidR="00A238A0">
        <w:t>.</w:t>
      </w:r>
    </w:p>
    <w:p w14:paraId="4DA8CC0D" w14:textId="077C99EE" w:rsidR="00A238A0" w:rsidRDefault="00A238A0" w:rsidP="000940D2">
      <w:pPr>
        <w:autoSpaceDE w:val="0"/>
        <w:autoSpaceDN w:val="0"/>
        <w:adjustRightInd w:val="0"/>
        <w:spacing w:after="0"/>
        <w:jc w:val="both"/>
      </w:pPr>
    </w:p>
    <w:p w14:paraId="5229F27C" w14:textId="69CD929D" w:rsidR="00A238A0" w:rsidRDefault="00A238A0" w:rsidP="000940D2">
      <w:pPr>
        <w:autoSpaceDE w:val="0"/>
        <w:autoSpaceDN w:val="0"/>
        <w:adjustRightInd w:val="0"/>
        <w:spacing w:after="0"/>
        <w:jc w:val="both"/>
        <w:rPr>
          <w:rFonts w:eastAsia="Calibri" w:cs="Times New Roman"/>
        </w:rPr>
      </w:pPr>
      <w:r>
        <w:rPr>
          <w:rFonts w:eastAsia="Calibri" w:cs="Times New Roman"/>
          <w:i/>
          <w:color w:val="2E74B5" w:themeColor="accent1" w:themeShade="BF"/>
        </w:rPr>
        <w:t>Considerations When Determining Whether to Make a Lump Sum Election</w:t>
      </w:r>
      <w:r>
        <w:rPr>
          <w:rFonts w:eastAsia="Calibri" w:cs="Times New Roman"/>
        </w:rPr>
        <w:t>.  Although each broadcaster faces</w:t>
      </w:r>
      <w:r w:rsidR="00571FE2">
        <w:rPr>
          <w:rFonts w:eastAsia="Calibri" w:cs="Times New Roman"/>
        </w:rPr>
        <w:t xml:space="preserve"> and must carefully analyze </w:t>
      </w:r>
      <w:r w:rsidR="0009278E">
        <w:rPr>
          <w:rFonts w:eastAsia="Calibri" w:cs="Times New Roman"/>
        </w:rPr>
        <w:t>unique</w:t>
      </w:r>
      <w:r>
        <w:rPr>
          <w:rFonts w:eastAsia="Calibri" w:cs="Times New Roman"/>
        </w:rPr>
        <w:t xml:space="preserve"> circumstances regarding </w:t>
      </w:r>
      <w:r w:rsidR="0009278E" w:rsidRPr="0009278E">
        <w:rPr>
          <w:rFonts w:eastAsia="Calibri" w:cs="Times New Roman"/>
        </w:rPr>
        <w:t xml:space="preserve">whether or not to make a lump sum election </w:t>
      </w:r>
      <w:r w:rsidR="0009278E">
        <w:rPr>
          <w:rFonts w:eastAsia="Calibri" w:cs="Times New Roman"/>
        </w:rPr>
        <w:t xml:space="preserve">for their </w:t>
      </w:r>
      <w:r>
        <w:rPr>
          <w:rFonts w:eastAsia="Calibri" w:cs="Times New Roman"/>
        </w:rPr>
        <w:t xml:space="preserve">qualifying, incumbent earth stations, below we catalog several especially important considerations that all broadcasters </w:t>
      </w:r>
      <w:r w:rsidR="00E949A9">
        <w:rPr>
          <w:rFonts w:eastAsia="Calibri" w:cs="Times New Roman"/>
        </w:rPr>
        <w:t>may</w:t>
      </w:r>
      <w:r>
        <w:rPr>
          <w:rFonts w:eastAsia="Calibri" w:cs="Times New Roman"/>
        </w:rPr>
        <w:t xml:space="preserve"> wish to consider:</w:t>
      </w:r>
    </w:p>
    <w:p w14:paraId="4A3E2DBB" w14:textId="25175259" w:rsidR="00A238A0" w:rsidRDefault="00A238A0" w:rsidP="000940D2">
      <w:pPr>
        <w:autoSpaceDE w:val="0"/>
        <w:autoSpaceDN w:val="0"/>
        <w:adjustRightInd w:val="0"/>
        <w:spacing w:after="0"/>
        <w:jc w:val="both"/>
        <w:rPr>
          <w:rFonts w:eastAsia="Calibri" w:cs="Times New Roman"/>
        </w:rPr>
      </w:pPr>
    </w:p>
    <w:p w14:paraId="0ABEEC50" w14:textId="4588B1C8" w:rsidR="00A238A0" w:rsidRDefault="00A238A0" w:rsidP="000940D2">
      <w:pPr>
        <w:pStyle w:val="ListParagraph"/>
        <w:numPr>
          <w:ilvl w:val="0"/>
          <w:numId w:val="6"/>
        </w:numPr>
        <w:autoSpaceDE w:val="0"/>
        <w:autoSpaceDN w:val="0"/>
        <w:adjustRightInd w:val="0"/>
        <w:spacing w:after="0" w:line="240" w:lineRule="auto"/>
        <w:contextualSpacing w:val="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lastRenderedPageBreak/>
        <w:t xml:space="preserve">If you elect lump sum reimbursement, you must do so for </w:t>
      </w:r>
      <w:r>
        <w:rPr>
          <w:rFonts w:ascii="Times New Roman" w:eastAsia="Calibri" w:hAnsi="Times New Roman" w:cs="Times New Roman"/>
          <w:b/>
          <w:iCs/>
          <w:sz w:val="24"/>
          <w:szCs w:val="24"/>
          <w:u w:val="single"/>
        </w:rPr>
        <w:t>all</w:t>
      </w:r>
      <w:r>
        <w:rPr>
          <w:rFonts w:ascii="Times New Roman" w:eastAsia="Calibri" w:hAnsi="Times New Roman" w:cs="Times New Roman"/>
          <w:b/>
          <w:iCs/>
          <w:sz w:val="24"/>
          <w:szCs w:val="24"/>
        </w:rPr>
        <w:t xml:space="preserve"> of your earth stations</w:t>
      </w:r>
      <w:r w:rsidRPr="00A238A0">
        <w:rPr>
          <w:rFonts w:ascii="Times New Roman" w:eastAsia="Calibri" w:hAnsi="Times New Roman" w:cs="Times New Roman"/>
          <w:b/>
          <w:iCs/>
          <w:sz w:val="24"/>
          <w:szCs w:val="24"/>
        </w:rPr>
        <w:t xml:space="preserve">. </w:t>
      </w:r>
      <w:r>
        <w:rPr>
          <w:rFonts w:ascii="Times New Roman" w:eastAsia="Calibri" w:hAnsi="Times New Roman" w:cs="Times New Roman"/>
          <w:iCs/>
          <w:sz w:val="24"/>
          <w:szCs w:val="24"/>
        </w:rPr>
        <w:t xml:space="preserve">You </w:t>
      </w:r>
      <w:r w:rsidR="00801F2A">
        <w:rPr>
          <w:rFonts w:ascii="Times New Roman" w:eastAsia="Calibri" w:hAnsi="Times New Roman" w:cs="Times New Roman"/>
          <w:iCs/>
          <w:sz w:val="24"/>
          <w:szCs w:val="24"/>
        </w:rPr>
        <w:t>cannot</w:t>
      </w:r>
      <w:r>
        <w:rPr>
          <w:rFonts w:ascii="Times New Roman" w:eastAsia="Calibri" w:hAnsi="Times New Roman" w:cs="Times New Roman"/>
          <w:iCs/>
          <w:sz w:val="24"/>
          <w:szCs w:val="24"/>
        </w:rPr>
        <w:t xml:space="preserve"> treat your earth stations “piecemeal,” which means that you may only elect lump sum reimbursement if you do so for </w:t>
      </w:r>
      <w:r>
        <w:rPr>
          <w:rFonts w:ascii="Times New Roman" w:eastAsia="Calibri" w:hAnsi="Times New Roman" w:cs="Times New Roman"/>
          <w:iCs/>
          <w:sz w:val="24"/>
          <w:szCs w:val="24"/>
          <w:u w:val="single"/>
        </w:rPr>
        <w:t>all</w:t>
      </w:r>
      <w:r>
        <w:rPr>
          <w:rFonts w:ascii="Times New Roman" w:eastAsia="Calibri" w:hAnsi="Times New Roman" w:cs="Times New Roman"/>
          <w:iCs/>
          <w:sz w:val="24"/>
          <w:szCs w:val="24"/>
        </w:rPr>
        <w:t xml:space="preserve"> of your earth stations.  Because the costs associated with transitioning earth stations can vary widely</w:t>
      </w:r>
      <w:r w:rsidR="00801F2A">
        <w:rPr>
          <w:rFonts w:ascii="Times New Roman" w:eastAsia="Calibri" w:hAnsi="Times New Roman" w:cs="Times New Roman"/>
          <w:iCs/>
          <w:sz w:val="24"/>
          <w:szCs w:val="24"/>
        </w:rPr>
        <w:t xml:space="preserve"> (more on this below)</w:t>
      </w:r>
      <w:r>
        <w:rPr>
          <w:rFonts w:ascii="Times New Roman" w:eastAsia="Calibri" w:hAnsi="Times New Roman" w:cs="Times New Roman"/>
          <w:iCs/>
          <w:sz w:val="24"/>
          <w:szCs w:val="24"/>
        </w:rPr>
        <w:t xml:space="preserve">, it will be important for broadcasters with multiple </w:t>
      </w:r>
      <w:r w:rsidR="00801F2A">
        <w:rPr>
          <w:rFonts w:ascii="Times New Roman" w:eastAsia="Calibri" w:hAnsi="Times New Roman" w:cs="Times New Roman"/>
          <w:iCs/>
          <w:sz w:val="24"/>
          <w:szCs w:val="24"/>
        </w:rPr>
        <w:t xml:space="preserve">qualifying, incumbent </w:t>
      </w:r>
      <w:r>
        <w:rPr>
          <w:rFonts w:ascii="Times New Roman" w:eastAsia="Calibri" w:hAnsi="Times New Roman" w:cs="Times New Roman"/>
          <w:iCs/>
          <w:sz w:val="24"/>
          <w:szCs w:val="24"/>
        </w:rPr>
        <w:t xml:space="preserve">earth stations to </w:t>
      </w:r>
      <w:r w:rsidR="00905B85">
        <w:rPr>
          <w:rFonts w:ascii="Times New Roman" w:eastAsia="Calibri" w:hAnsi="Times New Roman" w:cs="Times New Roman"/>
          <w:iCs/>
          <w:sz w:val="24"/>
          <w:szCs w:val="24"/>
        </w:rPr>
        <w:t xml:space="preserve">carefully analyze the </w:t>
      </w:r>
      <w:r>
        <w:rPr>
          <w:rFonts w:ascii="Times New Roman" w:eastAsia="Calibri" w:hAnsi="Times New Roman" w:cs="Times New Roman"/>
          <w:iCs/>
          <w:sz w:val="24"/>
          <w:szCs w:val="24"/>
        </w:rPr>
        <w:t xml:space="preserve">costs and benefits of transitioning </w:t>
      </w:r>
      <w:r>
        <w:rPr>
          <w:rFonts w:ascii="Times New Roman" w:eastAsia="Calibri" w:hAnsi="Times New Roman" w:cs="Times New Roman"/>
          <w:iCs/>
          <w:sz w:val="24"/>
          <w:szCs w:val="24"/>
          <w:u w:val="single"/>
        </w:rPr>
        <w:t>each and every</w:t>
      </w:r>
      <w:r>
        <w:rPr>
          <w:rFonts w:ascii="Times New Roman" w:eastAsia="Calibri" w:hAnsi="Times New Roman" w:cs="Times New Roman"/>
          <w:iCs/>
          <w:sz w:val="24"/>
          <w:szCs w:val="24"/>
        </w:rPr>
        <w:t xml:space="preserve"> one of their earth stations</w:t>
      </w:r>
      <w:r w:rsidRPr="00A238A0">
        <w:rPr>
          <w:rFonts w:ascii="Times New Roman" w:eastAsia="Calibri" w:hAnsi="Times New Roman" w:cs="Times New Roman"/>
          <w:iCs/>
          <w:sz w:val="24"/>
          <w:szCs w:val="24"/>
        </w:rPr>
        <w:t>.</w:t>
      </w:r>
    </w:p>
    <w:p w14:paraId="28191E39" w14:textId="77777777" w:rsidR="000940D2" w:rsidRPr="00A238A0" w:rsidRDefault="000940D2" w:rsidP="000940D2">
      <w:pPr>
        <w:pStyle w:val="ListParagraph"/>
        <w:autoSpaceDE w:val="0"/>
        <w:autoSpaceDN w:val="0"/>
        <w:adjustRightInd w:val="0"/>
        <w:spacing w:after="0" w:line="240" w:lineRule="auto"/>
        <w:contextualSpacing w:val="0"/>
        <w:jc w:val="both"/>
        <w:rPr>
          <w:rFonts w:ascii="Times New Roman" w:eastAsia="Calibri" w:hAnsi="Times New Roman" w:cs="Times New Roman"/>
          <w:iCs/>
          <w:sz w:val="24"/>
          <w:szCs w:val="24"/>
        </w:rPr>
      </w:pPr>
    </w:p>
    <w:p w14:paraId="4AC32EEF" w14:textId="07B6673C" w:rsidR="00A238A0" w:rsidRDefault="00A238A0" w:rsidP="000940D2">
      <w:pPr>
        <w:pStyle w:val="ListParagraph"/>
        <w:numPr>
          <w:ilvl w:val="0"/>
          <w:numId w:val="6"/>
        </w:numPr>
        <w:spacing w:after="0" w:line="240" w:lineRule="auto"/>
        <w:contextualSpacing w:val="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If you elect lump sum reimbursement, your election is </w:t>
      </w:r>
      <w:r>
        <w:rPr>
          <w:rFonts w:ascii="Times New Roman" w:eastAsia="Calibri" w:hAnsi="Times New Roman" w:cs="Times New Roman"/>
          <w:b/>
          <w:iCs/>
          <w:sz w:val="24"/>
          <w:szCs w:val="24"/>
          <w:u w:val="single"/>
        </w:rPr>
        <w:t>irrevocable</w:t>
      </w:r>
      <w:r w:rsidRPr="00A238A0">
        <w:rPr>
          <w:rFonts w:ascii="Times New Roman" w:eastAsia="Calibri" w:hAnsi="Times New Roman" w:cs="Times New Roman"/>
          <w:b/>
          <w:iCs/>
          <w:sz w:val="24"/>
          <w:szCs w:val="24"/>
        </w:rPr>
        <w:t xml:space="preserve">. </w:t>
      </w:r>
      <w:r w:rsidR="00905B85">
        <w:rPr>
          <w:rFonts w:ascii="Times New Roman" w:eastAsia="Calibri" w:hAnsi="Times New Roman" w:cs="Times New Roman"/>
          <w:iCs/>
          <w:sz w:val="24"/>
          <w:szCs w:val="24"/>
        </w:rPr>
        <w:t>If you elect lump sum reimbursement</w:t>
      </w:r>
      <w:r w:rsidR="00571FE2">
        <w:rPr>
          <w:rFonts w:ascii="Times New Roman" w:eastAsia="Calibri" w:hAnsi="Times New Roman" w:cs="Times New Roman"/>
          <w:iCs/>
          <w:sz w:val="24"/>
          <w:szCs w:val="24"/>
        </w:rPr>
        <w:t>,</w:t>
      </w:r>
      <w:r w:rsidR="00905B85">
        <w:rPr>
          <w:rFonts w:ascii="Times New Roman" w:eastAsia="Calibri" w:hAnsi="Times New Roman" w:cs="Times New Roman"/>
          <w:iCs/>
          <w:sz w:val="24"/>
          <w:szCs w:val="24"/>
        </w:rPr>
        <w:t xml:space="preserve"> you must disclaim all rights to </w:t>
      </w:r>
      <w:r w:rsidR="00722092">
        <w:rPr>
          <w:rFonts w:ascii="Times New Roman" w:eastAsia="Calibri" w:hAnsi="Times New Roman" w:cs="Times New Roman"/>
          <w:iCs/>
          <w:sz w:val="24"/>
          <w:szCs w:val="24"/>
        </w:rPr>
        <w:t>reimbursement</w:t>
      </w:r>
      <w:r w:rsidR="00905B85">
        <w:rPr>
          <w:rFonts w:ascii="Times New Roman" w:eastAsia="Calibri" w:hAnsi="Times New Roman" w:cs="Times New Roman"/>
          <w:iCs/>
          <w:sz w:val="24"/>
          <w:szCs w:val="24"/>
        </w:rPr>
        <w:t xml:space="preserve"> for the actual, reasonable costs of relocating your qualifying, incumbent earth stations.  This means that if you elect lump sum reimbursement and the actual costs of relocating your earth station </w:t>
      </w:r>
      <w:r w:rsidR="00470EFD">
        <w:rPr>
          <w:rFonts w:ascii="Times New Roman" w:eastAsia="Calibri" w:hAnsi="Times New Roman" w:cs="Times New Roman"/>
          <w:iCs/>
          <w:sz w:val="24"/>
          <w:szCs w:val="24"/>
        </w:rPr>
        <w:t>end up</w:t>
      </w:r>
      <w:r w:rsidR="00905B85">
        <w:rPr>
          <w:rFonts w:ascii="Times New Roman" w:eastAsia="Calibri" w:hAnsi="Times New Roman" w:cs="Times New Roman"/>
          <w:iCs/>
          <w:sz w:val="24"/>
          <w:szCs w:val="24"/>
        </w:rPr>
        <w:t xml:space="preserve"> exceed</w:t>
      </w:r>
      <w:r w:rsidR="00470EFD">
        <w:rPr>
          <w:rFonts w:ascii="Times New Roman" w:eastAsia="Calibri" w:hAnsi="Times New Roman" w:cs="Times New Roman"/>
          <w:iCs/>
          <w:sz w:val="24"/>
          <w:szCs w:val="24"/>
        </w:rPr>
        <w:t>ing</w:t>
      </w:r>
      <w:r w:rsidR="00905B85">
        <w:rPr>
          <w:rFonts w:ascii="Times New Roman" w:eastAsia="Calibri" w:hAnsi="Times New Roman" w:cs="Times New Roman"/>
          <w:iCs/>
          <w:sz w:val="24"/>
          <w:szCs w:val="24"/>
        </w:rPr>
        <w:t xml:space="preserve"> the amount you received </w:t>
      </w:r>
      <w:r w:rsidR="00722092">
        <w:rPr>
          <w:rFonts w:ascii="Times New Roman" w:eastAsia="Calibri" w:hAnsi="Times New Roman" w:cs="Times New Roman"/>
          <w:iCs/>
          <w:sz w:val="24"/>
          <w:szCs w:val="24"/>
        </w:rPr>
        <w:t>as a result of your</w:t>
      </w:r>
      <w:r w:rsidR="00905B85">
        <w:rPr>
          <w:rFonts w:ascii="Times New Roman" w:eastAsia="Calibri" w:hAnsi="Times New Roman" w:cs="Times New Roman"/>
          <w:iCs/>
          <w:sz w:val="24"/>
          <w:szCs w:val="24"/>
        </w:rPr>
        <w:t xml:space="preserve"> lump sum </w:t>
      </w:r>
      <w:r w:rsidR="00722092">
        <w:rPr>
          <w:rFonts w:ascii="Times New Roman" w:eastAsia="Calibri" w:hAnsi="Times New Roman" w:cs="Times New Roman"/>
          <w:iCs/>
          <w:sz w:val="24"/>
          <w:szCs w:val="24"/>
        </w:rPr>
        <w:t>election</w:t>
      </w:r>
      <w:r w:rsidR="00905B85">
        <w:rPr>
          <w:rFonts w:ascii="Times New Roman" w:eastAsia="Calibri" w:hAnsi="Times New Roman" w:cs="Times New Roman"/>
          <w:iCs/>
          <w:sz w:val="24"/>
          <w:szCs w:val="24"/>
        </w:rPr>
        <w:t xml:space="preserve">, you will </w:t>
      </w:r>
      <w:r w:rsidR="00905B85">
        <w:rPr>
          <w:rFonts w:ascii="Times New Roman" w:eastAsia="Calibri" w:hAnsi="Times New Roman" w:cs="Times New Roman"/>
          <w:iCs/>
          <w:sz w:val="24"/>
          <w:szCs w:val="24"/>
          <w:u w:val="single"/>
        </w:rPr>
        <w:t>not</w:t>
      </w:r>
      <w:r w:rsidR="00905B85">
        <w:rPr>
          <w:rFonts w:ascii="Times New Roman" w:eastAsia="Calibri" w:hAnsi="Times New Roman" w:cs="Times New Roman"/>
          <w:iCs/>
          <w:sz w:val="24"/>
          <w:szCs w:val="24"/>
        </w:rPr>
        <w:t xml:space="preserve"> be able to recoup any of those excess costs</w:t>
      </w:r>
      <w:r w:rsidRPr="00A238A0">
        <w:rPr>
          <w:rFonts w:ascii="Times New Roman" w:eastAsia="Calibri" w:hAnsi="Times New Roman" w:cs="Times New Roman"/>
          <w:iCs/>
          <w:sz w:val="24"/>
          <w:szCs w:val="24"/>
        </w:rPr>
        <w:t>.</w:t>
      </w:r>
    </w:p>
    <w:p w14:paraId="7BA30BEF" w14:textId="163CBB5A" w:rsidR="000940D2" w:rsidRPr="000940D2" w:rsidRDefault="000940D2" w:rsidP="000940D2">
      <w:pPr>
        <w:spacing w:after="0"/>
        <w:jc w:val="both"/>
        <w:rPr>
          <w:rFonts w:eastAsia="Calibri" w:cs="Times New Roman"/>
          <w:iCs/>
          <w:szCs w:val="24"/>
        </w:rPr>
      </w:pPr>
    </w:p>
    <w:p w14:paraId="7CF4E063" w14:textId="227FEE4E" w:rsidR="00A238A0" w:rsidRDefault="00A238A0" w:rsidP="000940D2">
      <w:pPr>
        <w:pStyle w:val="ListParagraph"/>
        <w:numPr>
          <w:ilvl w:val="0"/>
          <w:numId w:val="6"/>
        </w:numPr>
        <w:spacing w:after="0" w:line="240" w:lineRule="auto"/>
        <w:contextualSpacing w:val="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If you elect lump sum reimbursement, you assume sole responsibility for ensuring that you successfully transition your earth stations, and you must do so by deadlines established by the </w:t>
      </w:r>
      <w:r w:rsidR="00E949A9">
        <w:rPr>
          <w:rFonts w:ascii="Times New Roman" w:eastAsia="Calibri" w:hAnsi="Times New Roman" w:cs="Times New Roman"/>
          <w:b/>
          <w:iCs/>
          <w:sz w:val="24"/>
          <w:szCs w:val="24"/>
        </w:rPr>
        <w:t>S</w:t>
      </w:r>
      <w:r>
        <w:rPr>
          <w:rFonts w:ascii="Times New Roman" w:eastAsia="Calibri" w:hAnsi="Times New Roman" w:cs="Times New Roman"/>
          <w:b/>
          <w:iCs/>
          <w:sz w:val="24"/>
          <w:szCs w:val="24"/>
        </w:rPr>
        <w:t xml:space="preserve">atellite </w:t>
      </w:r>
      <w:r w:rsidR="00E949A9">
        <w:rPr>
          <w:rFonts w:ascii="Times New Roman" w:eastAsia="Calibri" w:hAnsi="Times New Roman" w:cs="Times New Roman"/>
          <w:b/>
          <w:iCs/>
          <w:sz w:val="24"/>
          <w:szCs w:val="24"/>
        </w:rPr>
        <w:t>O</w:t>
      </w:r>
      <w:r>
        <w:rPr>
          <w:rFonts w:ascii="Times New Roman" w:eastAsia="Calibri" w:hAnsi="Times New Roman" w:cs="Times New Roman"/>
          <w:b/>
          <w:iCs/>
          <w:sz w:val="24"/>
          <w:szCs w:val="24"/>
        </w:rPr>
        <w:t>perators</w:t>
      </w:r>
      <w:r w:rsidRPr="00A238A0">
        <w:rPr>
          <w:rFonts w:ascii="Times New Roman" w:eastAsia="Calibri" w:hAnsi="Times New Roman" w:cs="Times New Roman"/>
          <w:b/>
          <w:iCs/>
          <w:sz w:val="24"/>
          <w:szCs w:val="24"/>
        </w:rPr>
        <w:t xml:space="preserve">. </w:t>
      </w:r>
      <w:r w:rsidR="00750235">
        <w:rPr>
          <w:rFonts w:ascii="Times New Roman" w:eastAsia="Calibri" w:hAnsi="Times New Roman" w:cs="Times New Roman"/>
          <w:iCs/>
          <w:sz w:val="24"/>
          <w:szCs w:val="24"/>
        </w:rPr>
        <w:t xml:space="preserve">Each of the Satellite Operators </w:t>
      </w:r>
      <w:r w:rsidR="004F3CEA">
        <w:rPr>
          <w:rFonts w:ascii="Times New Roman" w:eastAsia="Calibri" w:hAnsi="Times New Roman" w:cs="Times New Roman"/>
          <w:iCs/>
          <w:sz w:val="24"/>
          <w:szCs w:val="24"/>
        </w:rPr>
        <w:t>is</w:t>
      </w:r>
      <w:r w:rsidR="00E949A9">
        <w:rPr>
          <w:rFonts w:ascii="Times New Roman" w:eastAsia="Calibri" w:hAnsi="Times New Roman" w:cs="Times New Roman"/>
          <w:iCs/>
          <w:sz w:val="24"/>
          <w:szCs w:val="24"/>
        </w:rPr>
        <w:t xml:space="preserve"> required by the FCC to hit specific deadlines associated with their commitment to clear the band on an expedited basis</w:t>
      </w:r>
      <w:r w:rsidR="003637B3">
        <w:rPr>
          <w:rFonts w:ascii="Times New Roman" w:eastAsia="Calibri" w:hAnsi="Times New Roman" w:cs="Times New Roman"/>
          <w:iCs/>
          <w:sz w:val="24"/>
          <w:szCs w:val="24"/>
        </w:rPr>
        <w:t xml:space="preserve"> (note that, </w:t>
      </w:r>
      <w:r w:rsidR="003637B3" w:rsidRPr="003637B3">
        <w:rPr>
          <w:rFonts w:ascii="Times New Roman" w:eastAsia="Calibri" w:hAnsi="Times New Roman" w:cs="Times New Roman"/>
          <w:iCs/>
          <w:sz w:val="24"/>
          <w:szCs w:val="24"/>
        </w:rPr>
        <w:t xml:space="preserve">for broadcasters, the relevant Satellite Operators are </w:t>
      </w:r>
      <w:r w:rsidR="003637B3">
        <w:rPr>
          <w:rFonts w:ascii="Times New Roman" w:eastAsia="Calibri" w:hAnsi="Times New Roman" w:cs="Times New Roman"/>
          <w:iCs/>
          <w:sz w:val="24"/>
          <w:szCs w:val="24"/>
        </w:rPr>
        <w:t>primarily SES and Intelsat).</w:t>
      </w:r>
      <w:r w:rsidR="00E949A9">
        <w:rPr>
          <w:rFonts w:ascii="Times New Roman" w:eastAsia="Calibri" w:hAnsi="Times New Roman" w:cs="Times New Roman"/>
          <w:iCs/>
          <w:sz w:val="24"/>
          <w:szCs w:val="24"/>
        </w:rPr>
        <w:t xml:space="preserve">  Accordingly, each </w:t>
      </w:r>
      <w:r w:rsidR="002D5032">
        <w:rPr>
          <w:rFonts w:ascii="Times New Roman" w:eastAsia="Calibri" w:hAnsi="Times New Roman" w:cs="Times New Roman"/>
          <w:iCs/>
          <w:sz w:val="24"/>
          <w:szCs w:val="24"/>
        </w:rPr>
        <w:t>S</w:t>
      </w:r>
      <w:r w:rsidR="00E949A9">
        <w:rPr>
          <w:rFonts w:ascii="Times New Roman" w:eastAsia="Calibri" w:hAnsi="Times New Roman" w:cs="Times New Roman"/>
          <w:iCs/>
          <w:sz w:val="24"/>
          <w:szCs w:val="24"/>
        </w:rPr>
        <w:t xml:space="preserve">atellite </w:t>
      </w:r>
      <w:r w:rsidR="002D5032">
        <w:rPr>
          <w:rFonts w:ascii="Times New Roman" w:eastAsia="Calibri" w:hAnsi="Times New Roman" w:cs="Times New Roman"/>
          <w:iCs/>
          <w:sz w:val="24"/>
          <w:szCs w:val="24"/>
        </w:rPr>
        <w:t>Operator</w:t>
      </w:r>
      <w:r w:rsidR="00E949A9">
        <w:rPr>
          <w:rFonts w:ascii="Times New Roman" w:eastAsia="Calibri" w:hAnsi="Times New Roman" w:cs="Times New Roman"/>
          <w:iCs/>
          <w:sz w:val="24"/>
          <w:szCs w:val="24"/>
        </w:rPr>
        <w:t xml:space="preserve"> ha</w:t>
      </w:r>
      <w:r w:rsidR="002D5032">
        <w:rPr>
          <w:rFonts w:ascii="Times New Roman" w:eastAsia="Calibri" w:hAnsi="Times New Roman" w:cs="Times New Roman"/>
          <w:iCs/>
          <w:sz w:val="24"/>
          <w:szCs w:val="24"/>
        </w:rPr>
        <w:t>s</w:t>
      </w:r>
      <w:r w:rsidR="00E949A9">
        <w:rPr>
          <w:rFonts w:ascii="Times New Roman" w:eastAsia="Calibri" w:hAnsi="Times New Roman" w:cs="Times New Roman"/>
          <w:iCs/>
          <w:sz w:val="24"/>
          <w:szCs w:val="24"/>
        </w:rPr>
        <w:t xml:space="preserve"> established </w:t>
      </w:r>
      <w:r w:rsidR="00FB10B9">
        <w:rPr>
          <w:rFonts w:ascii="Times New Roman" w:eastAsia="Calibri" w:hAnsi="Times New Roman" w:cs="Times New Roman"/>
          <w:iCs/>
          <w:sz w:val="24"/>
          <w:szCs w:val="24"/>
        </w:rPr>
        <w:t xml:space="preserve">its </w:t>
      </w:r>
      <w:r w:rsidR="002D5032">
        <w:rPr>
          <w:rFonts w:ascii="Times New Roman" w:eastAsia="Calibri" w:hAnsi="Times New Roman" w:cs="Times New Roman"/>
          <w:iCs/>
          <w:sz w:val="24"/>
          <w:szCs w:val="24"/>
        </w:rPr>
        <w:t xml:space="preserve">own </w:t>
      </w:r>
      <w:r w:rsidR="00E949A9">
        <w:rPr>
          <w:rFonts w:ascii="Times New Roman" w:eastAsia="Calibri" w:hAnsi="Times New Roman" w:cs="Times New Roman"/>
          <w:iCs/>
          <w:sz w:val="24"/>
          <w:szCs w:val="24"/>
        </w:rPr>
        <w:t>deadlines and ti</w:t>
      </w:r>
      <w:r w:rsidR="00FB10B9">
        <w:rPr>
          <w:rFonts w:ascii="Times New Roman" w:eastAsia="Calibri" w:hAnsi="Times New Roman" w:cs="Times New Roman"/>
          <w:iCs/>
          <w:sz w:val="24"/>
          <w:szCs w:val="24"/>
        </w:rPr>
        <w:t xml:space="preserve">melines for successfully transitioning the </w:t>
      </w:r>
      <w:r w:rsidR="009D1887">
        <w:rPr>
          <w:rFonts w:ascii="Times New Roman" w:eastAsia="Calibri" w:hAnsi="Times New Roman" w:cs="Times New Roman"/>
          <w:iCs/>
          <w:sz w:val="24"/>
          <w:szCs w:val="24"/>
        </w:rPr>
        <w:t>C-</w:t>
      </w:r>
      <w:r w:rsidR="00FB10B9">
        <w:rPr>
          <w:rFonts w:ascii="Times New Roman" w:eastAsia="Calibri" w:hAnsi="Times New Roman" w:cs="Times New Roman"/>
          <w:iCs/>
          <w:sz w:val="24"/>
          <w:szCs w:val="24"/>
        </w:rPr>
        <w:t xml:space="preserve">band (and with it, </w:t>
      </w:r>
      <w:r w:rsidR="009D1887">
        <w:rPr>
          <w:rFonts w:ascii="Times New Roman" w:eastAsia="Calibri" w:hAnsi="Times New Roman" w:cs="Times New Roman"/>
          <w:iCs/>
          <w:sz w:val="24"/>
          <w:szCs w:val="24"/>
        </w:rPr>
        <w:t xml:space="preserve">all </w:t>
      </w:r>
      <w:r w:rsidR="00FB10B9">
        <w:rPr>
          <w:rFonts w:ascii="Times New Roman" w:eastAsia="Calibri" w:hAnsi="Times New Roman" w:cs="Times New Roman"/>
          <w:iCs/>
          <w:sz w:val="24"/>
          <w:szCs w:val="24"/>
        </w:rPr>
        <w:t>associated earth stations)</w:t>
      </w:r>
      <w:r w:rsidR="001C0DD8">
        <w:rPr>
          <w:rFonts w:ascii="Times New Roman" w:eastAsia="Calibri" w:hAnsi="Times New Roman" w:cs="Times New Roman"/>
          <w:iCs/>
          <w:sz w:val="24"/>
          <w:szCs w:val="24"/>
        </w:rPr>
        <w:t>,</w:t>
      </w:r>
      <w:r w:rsidR="00E949A9">
        <w:rPr>
          <w:rFonts w:ascii="Times New Roman" w:eastAsia="Calibri" w:hAnsi="Times New Roman" w:cs="Times New Roman"/>
          <w:iCs/>
          <w:sz w:val="24"/>
          <w:szCs w:val="24"/>
        </w:rPr>
        <w:t xml:space="preserve"> as generally outlined in the final transition plans </w:t>
      </w:r>
      <w:r w:rsidR="00CA7AD5">
        <w:rPr>
          <w:rFonts w:ascii="Times New Roman" w:eastAsia="Calibri" w:hAnsi="Times New Roman" w:cs="Times New Roman"/>
          <w:iCs/>
          <w:sz w:val="24"/>
          <w:szCs w:val="24"/>
        </w:rPr>
        <w:t xml:space="preserve">each Satellite Operator has </w:t>
      </w:r>
      <w:r w:rsidR="00E949A9">
        <w:rPr>
          <w:rFonts w:ascii="Times New Roman" w:eastAsia="Calibri" w:hAnsi="Times New Roman" w:cs="Times New Roman"/>
          <w:iCs/>
          <w:sz w:val="24"/>
          <w:szCs w:val="24"/>
        </w:rPr>
        <w:t xml:space="preserve">filed with the FCC.  </w:t>
      </w:r>
      <w:r w:rsidR="001C0DD8">
        <w:rPr>
          <w:rFonts w:ascii="Times New Roman" w:eastAsia="Calibri" w:hAnsi="Times New Roman" w:cs="Times New Roman"/>
          <w:iCs/>
          <w:sz w:val="24"/>
          <w:szCs w:val="24"/>
        </w:rPr>
        <w:t xml:space="preserve">If you elect lump sum reimbursement, </w:t>
      </w:r>
      <w:r w:rsidR="001C0DD8" w:rsidRPr="00AD3BF9">
        <w:rPr>
          <w:rFonts w:ascii="Times New Roman" w:eastAsia="Calibri" w:hAnsi="Times New Roman" w:cs="Times New Roman"/>
          <w:iCs/>
          <w:sz w:val="24"/>
          <w:szCs w:val="24"/>
          <w:u w:val="single"/>
        </w:rPr>
        <w:t xml:space="preserve">you will assume </w:t>
      </w:r>
      <w:r w:rsidR="001C0DD8" w:rsidRPr="001C0DD8">
        <w:rPr>
          <w:rFonts w:ascii="Times New Roman" w:eastAsia="Calibri" w:hAnsi="Times New Roman" w:cs="Times New Roman"/>
          <w:iCs/>
          <w:sz w:val="24"/>
          <w:szCs w:val="24"/>
          <w:u w:val="single"/>
        </w:rPr>
        <w:t>all responsibility for successfully transitioning your earth station</w:t>
      </w:r>
      <w:r w:rsidR="00AD3BF9">
        <w:rPr>
          <w:rFonts w:ascii="Times New Roman" w:eastAsia="Calibri" w:hAnsi="Times New Roman" w:cs="Times New Roman"/>
          <w:iCs/>
          <w:sz w:val="24"/>
          <w:szCs w:val="24"/>
          <w:u w:val="single"/>
        </w:rPr>
        <w:t>s</w:t>
      </w:r>
      <w:r w:rsidR="001C0DD8" w:rsidRPr="001C0DD8">
        <w:rPr>
          <w:rFonts w:ascii="Times New Roman" w:eastAsia="Calibri" w:hAnsi="Times New Roman" w:cs="Times New Roman"/>
          <w:iCs/>
          <w:sz w:val="24"/>
          <w:szCs w:val="24"/>
          <w:u w:val="single"/>
        </w:rPr>
        <w:t xml:space="preserve"> </w:t>
      </w:r>
      <w:r w:rsidR="00067667">
        <w:rPr>
          <w:rFonts w:ascii="Times New Roman" w:eastAsia="Calibri" w:hAnsi="Times New Roman" w:cs="Times New Roman"/>
          <w:iCs/>
          <w:sz w:val="24"/>
          <w:szCs w:val="24"/>
          <w:u w:val="single"/>
        </w:rPr>
        <w:t>by th</w:t>
      </w:r>
      <w:r w:rsidR="00AD3BF9">
        <w:rPr>
          <w:rFonts w:ascii="Times New Roman" w:eastAsia="Calibri" w:hAnsi="Times New Roman" w:cs="Times New Roman"/>
          <w:iCs/>
          <w:sz w:val="24"/>
          <w:szCs w:val="24"/>
          <w:u w:val="single"/>
        </w:rPr>
        <w:t>e</w:t>
      </w:r>
      <w:r w:rsidR="001C0DD8" w:rsidRPr="001C0DD8">
        <w:rPr>
          <w:rFonts w:ascii="Times New Roman" w:eastAsia="Calibri" w:hAnsi="Times New Roman" w:cs="Times New Roman"/>
          <w:iCs/>
          <w:sz w:val="24"/>
          <w:szCs w:val="24"/>
          <w:u w:val="single"/>
        </w:rPr>
        <w:t xml:space="preserve"> deadlines </w:t>
      </w:r>
      <w:r w:rsidR="00557095">
        <w:rPr>
          <w:rFonts w:ascii="Times New Roman" w:eastAsia="Calibri" w:hAnsi="Times New Roman" w:cs="Times New Roman"/>
          <w:iCs/>
          <w:sz w:val="24"/>
          <w:szCs w:val="24"/>
          <w:u w:val="single"/>
        </w:rPr>
        <w:t xml:space="preserve">that have been </w:t>
      </w:r>
      <w:r w:rsidR="00907F40">
        <w:rPr>
          <w:rFonts w:ascii="Times New Roman" w:eastAsia="Calibri" w:hAnsi="Times New Roman" w:cs="Times New Roman"/>
          <w:iCs/>
          <w:sz w:val="24"/>
          <w:szCs w:val="24"/>
          <w:u w:val="single"/>
        </w:rPr>
        <w:t>established by</w:t>
      </w:r>
      <w:r w:rsidR="001C0DD8" w:rsidRPr="001C0DD8">
        <w:rPr>
          <w:rFonts w:ascii="Times New Roman" w:eastAsia="Calibri" w:hAnsi="Times New Roman" w:cs="Times New Roman"/>
          <w:iCs/>
          <w:sz w:val="24"/>
          <w:szCs w:val="24"/>
          <w:u w:val="single"/>
        </w:rPr>
        <w:t xml:space="preserve"> the </w:t>
      </w:r>
      <w:r w:rsidR="00557095">
        <w:rPr>
          <w:rFonts w:ascii="Times New Roman" w:eastAsia="Calibri" w:hAnsi="Times New Roman" w:cs="Times New Roman"/>
          <w:iCs/>
          <w:sz w:val="24"/>
          <w:szCs w:val="24"/>
          <w:u w:val="single"/>
        </w:rPr>
        <w:t>S</w:t>
      </w:r>
      <w:r w:rsidR="001C0DD8" w:rsidRPr="001C0DD8">
        <w:rPr>
          <w:rFonts w:ascii="Times New Roman" w:eastAsia="Calibri" w:hAnsi="Times New Roman" w:cs="Times New Roman"/>
          <w:iCs/>
          <w:sz w:val="24"/>
          <w:szCs w:val="24"/>
          <w:u w:val="single"/>
        </w:rPr>
        <w:t xml:space="preserve">atellite </w:t>
      </w:r>
      <w:r w:rsidR="00557095">
        <w:rPr>
          <w:rFonts w:ascii="Times New Roman" w:eastAsia="Calibri" w:hAnsi="Times New Roman" w:cs="Times New Roman"/>
          <w:iCs/>
          <w:sz w:val="24"/>
          <w:szCs w:val="24"/>
          <w:u w:val="single"/>
        </w:rPr>
        <w:t>O</w:t>
      </w:r>
      <w:r w:rsidR="001C0DD8" w:rsidRPr="001C0DD8">
        <w:rPr>
          <w:rFonts w:ascii="Times New Roman" w:eastAsia="Calibri" w:hAnsi="Times New Roman" w:cs="Times New Roman"/>
          <w:iCs/>
          <w:sz w:val="24"/>
          <w:szCs w:val="24"/>
          <w:u w:val="single"/>
        </w:rPr>
        <w:t>perators</w:t>
      </w:r>
      <w:r w:rsidR="001C0DD8">
        <w:rPr>
          <w:rFonts w:ascii="Times New Roman" w:eastAsia="Calibri" w:hAnsi="Times New Roman" w:cs="Times New Roman"/>
          <w:iCs/>
          <w:sz w:val="24"/>
          <w:szCs w:val="24"/>
        </w:rPr>
        <w:t xml:space="preserve"> (</w:t>
      </w:r>
      <w:r w:rsidR="00557095">
        <w:rPr>
          <w:rFonts w:ascii="Times New Roman" w:eastAsia="Calibri" w:hAnsi="Times New Roman" w:cs="Times New Roman"/>
          <w:iCs/>
          <w:sz w:val="24"/>
          <w:szCs w:val="24"/>
        </w:rPr>
        <w:t xml:space="preserve">whereas, </w:t>
      </w:r>
      <w:r w:rsidR="001C0DD8">
        <w:rPr>
          <w:rFonts w:ascii="Times New Roman" w:eastAsia="Calibri" w:hAnsi="Times New Roman" w:cs="Times New Roman"/>
          <w:iCs/>
          <w:sz w:val="24"/>
          <w:szCs w:val="24"/>
        </w:rPr>
        <w:t xml:space="preserve">by contrast, if you forego lump sum reimbursement in favor of remaining eligible for reimbursement of </w:t>
      </w:r>
      <w:r w:rsidR="00557095">
        <w:rPr>
          <w:rFonts w:ascii="Times New Roman" w:eastAsia="Calibri" w:hAnsi="Times New Roman" w:cs="Times New Roman"/>
          <w:iCs/>
          <w:sz w:val="24"/>
          <w:szCs w:val="24"/>
        </w:rPr>
        <w:t xml:space="preserve">the </w:t>
      </w:r>
      <w:r w:rsidR="001C0DD8">
        <w:rPr>
          <w:rFonts w:ascii="Times New Roman" w:eastAsia="Calibri" w:hAnsi="Times New Roman" w:cs="Times New Roman"/>
          <w:iCs/>
          <w:sz w:val="24"/>
          <w:szCs w:val="24"/>
        </w:rPr>
        <w:t>actual, reasonable relocation costs</w:t>
      </w:r>
      <w:r w:rsidR="00557095">
        <w:rPr>
          <w:rFonts w:ascii="Times New Roman" w:eastAsia="Calibri" w:hAnsi="Times New Roman" w:cs="Times New Roman"/>
          <w:iCs/>
          <w:sz w:val="24"/>
          <w:szCs w:val="24"/>
        </w:rPr>
        <w:t xml:space="preserve"> of transitioning your qualifying, incumbent earth stations</w:t>
      </w:r>
      <w:r w:rsidR="001C0DD8">
        <w:rPr>
          <w:rFonts w:ascii="Times New Roman" w:eastAsia="Calibri" w:hAnsi="Times New Roman" w:cs="Times New Roman"/>
          <w:iCs/>
          <w:sz w:val="24"/>
          <w:szCs w:val="24"/>
        </w:rPr>
        <w:t xml:space="preserve">, the Satellite Operators will have the ultimate responsibility for transitioning your earth station(s) by the relevant </w:t>
      </w:r>
      <w:r w:rsidR="00571FE2">
        <w:rPr>
          <w:rFonts w:ascii="Times New Roman" w:eastAsia="Calibri" w:hAnsi="Times New Roman" w:cs="Times New Roman"/>
          <w:iCs/>
          <w:sz w:val="24"/>
          <w:szCs w:val="24"/>
        </w:rPr>
        <w:t>deadlines).  Because not every Satellite O</w:t>
      </w:r>
      <w:r w:rsidR="001C0DD8">
        <w:rPr>
          <w:rFonts w:ascii="Times New Roman" w:eastAsia="Calibri" w:hAnsi="Times New Roman" w:cs="Times New Roman"/>
          <w:iCs/>
          <w:sz w:val="24"/>
          <w:szCs w:val="24"/>
        </w:rPr>
        <w:t>perator’s transition plan goes into specific detail regarding the required deadlines each earth station registrant/licensee must hit, we strongly encourage you to contact the following help lines (depending on which Satellite Operator corresponds to your earth s</w:t>
      </w:r>
      <w:r w:rsidR="008D13EE">
        <w:rPr>
          <w:rFonts w:ascii="Times New Roman" w:eastAsia="Calibri" w:hAnsi="Times New Roman" w:cs="Times New Roman"/>
          <w:iCs/>
          <w:sz w:val="24"/>
          <w:szCs w:val="24"/>
        </w:rPr>
        <w:t>tations</w:t>
      </w:r>
      <w:r w:rsidR="001C0DD8">
        <w:rPr>
          <w:rFonts w:ascii="Times New Roman" w:eastAsia="Calibri" w:hAnsi="Times New Roman" w:cs="Times New Roman"/>
          <w:iCs/>
          <w:sz w:val="24"/>
          <w:szCs w:val="24"/>
        </w:rPr>
        <w:t>) to obtain additional detail</w:t>
      </w:r>
      <w:r w:rsidR="006A522C">
        <w:rPr>
          <w:rFonts w:ascii="Times New Roman" w:eastAsia="Calibri" w:hAnsi="Times New Roman" w:cs="Times New Roman"/>
          <w:iCs/>
          <w:sz w:val="24"/>
          <w:szCs w:val="24"/>
        </w:rPr>
        <w:t>s</w:t>
      </w:r>
      <w:r w:rsidR="001C0DD8">
        <w:rPr>
          <w:rFonts w:ascii="Times New Roman" w:eastAsia="Calibri" w:hAnsi="Times New Roman" w:cs="Times New Roman"/>
          <w:iCs/>
          <w:sz w:val="24"/>
          <w:szCs w:val="24"/>
        </w:rPr>
        <w:t xml:space="preserve"> on the anticipated (1) specifics and (2)</w:t>
      </w:r>
      <w:r w:rsidR="00557095">
        <w:rPr>
          <w:rFonts w:ascii="Times New Roman" w:eastAsia="Calibri" w:hAnsi="Times New Roman" w:cs="Times New Roman"/>
          <w:iCs/>
          <w:sz w:val="24"/>
          <w:szCs w:val="24"/>
        </w:rPr>
        <w:t> </w:t>
      </w:r>
      <w:r w:rsidR="001C0DD8">
        <w:rPr>
          <w:rFonts w:ascii="Times New Roman" w:eastAsia="Calibri" w:hAnsi="Times New Roman" w:cs="Times New Roman"/>
          <w:iCs/>
          <w:sz w:val="24"/>
          <w:szCs w:val="24"/>
        </w:rPr>
        <w:t>timing for the transition</w:t>
      </w:r>
      <w:r w:rsidR="008D13EE">
        <w:rPr>
          <w:rFonts w:ascii="Times New Roman" w:eastAsia="Calibri" w:hAnsi="Times New Roman" w:cs="Times New Roman"/>
          <w:iCs/>
          <w:sz w:val="24"/>
          <w:szCs w:val="24"/>
        </w:rPr>
        <w:t xml:space="preserve"> of your specific earth stations</w:t>
      </w:r>
      <w:r w:rsidR="001C0DD8">
        <w:rPr>
          <w:rFonts w:ascii="Times New Roman" w:eastAsia="Calibri" w:hAnsi="Times New Roman" w:cs="Times New Roman"/>
          <w:iCs/>
          <w:sz w:val="24"/>
          <w:szCs w:val="24"/>
        </w:rPr>
        <w:t>.</w:t>
      </w:r>
    </w:p>
    <w:p w14:paraId="20E5F982" w14:textId="77777777" w:rsidR="000940D2" w:rsidRDefault="000940D2" w:rsidP="000940D2">
      <w:pPr>
        <w:pStyle w:val="ListParagraph"/>
        <w:spacing w:after="0" w:line="240" w:lineRule="auto"/>
        <w:contextualSpacing w:val="0"/>
        <w:jc w:val="both"/>
        <w:rPr>
          <w:rFonts w:ascii="Times New Roman" w:eastAsia="Calibri" w:hAnsi="Times New Roman" w:cs="Times New Roman"/>
          <w:iCs/>
          <w:sz w:val="24"/>
          <w:szCs w:val="24"/>
        </w:rPr>
      </w:pPr>
    </w:p>
    <w:p w14:paraId="6CE4A623" w14:textId="5B6BC4CC" w:rsidR="001C0DD8" w:rsidRDefault="001C0DD8" w:rsidP="000940D2">
      <w:pPr>
        <w:spacing w:after="0"/>
        <w:ind w:left="2160" w:right="720" w:hanging="1440"/>
        <w:jc w:val="both"/>
      </w:pPr>
      <w:r w:rsidRPr="00B61738">
        <w:rPr>
          <w:b/>
        </w:rPr>
        <w:t>INTELSAT:</w:t>
      </w:r>
      <w:r>
        <w:rPr>
          <w:b/>
          <w:sz w:val="22"/>
        </w:rPr>
        <w:tab/>
      </w:r>
      <w:r>
        <w:t xml:space="preserve">Intelsat has contracted with WESCO (formerly Satellite Engineering Group) to perform broadcaster outreach for the transition.  You may contact them via email at </w:t>
      </w:r>
      <w:hyperlink r:id="rId11" w:history="1">
        <w:r>
          <w:rPr>
            <w:rStyle w:val="Hyperlink"/>
          </w:rPr>
          <w:t>intelsat@wesco.com</w:t>
        </w:r>
      </w:hyperlink>
      <w:r>
        <w:t xml:space="preserve"> or by phone at (719) 388-7546.</w:t>
      </w:r>
    </w:p>
    <w:p w14:paraId="5069A472" w14:textId="77777777" w:rsidR="000940D2" w:rsidRPr="00B61738" w:rsidRDefault="000940D2" w:rsidP="000940D2">
      <w:pPr>
        <w:spacing w:after="0"/>
        <w:ind w:left="2160" w:right="720" w:hanging="1440"/>
        <w:jc w:val="both"/>
        <w:rPr>
          <w:b/>
          <w:sz w:val="22"/>
        </w:rPr>
      </w:pPr>
    </w:p>
    <w:p w14:paraId="1AC67BD6" w14:textId="58F135F4" w:rsidR="001C0DD8" w:rsidRDefault="001C0DD8" w:rsidP="000940D2">
      <w:pPr>
        <w:spacing w:after="0"/>
        <w:ind w:left="2160" w:right="720" w:hanging="1440"/>
        <w:jc w:val="both"/>
      </w:pPr>
      <w:r>
        <w:rPr>
          <w:b/>
        </w:rPr>
        <w:t>SES</w:t>
      </w:r>
      <w:r w:rsidRPr="00B61738">
        <w:rPr>
          <w:b/>
        </w:rPr>
        <w:t>:</w:t>
      </w:r>
      <w:r>
        <w:rPr>
          <w:b/>
          <w:sz w:val="22"/>
        </w:rPr>
        <w:tab/>
      </w:r>
      <w:r>
        <w:t xml:space="preserve">You may contact the SES help desk regarding the C-band transition via email at </w:t>
      </w:r>
      <w:hyperlink r:id="rId12" w:history="1">
        <w:r w:rsidRPr="00B61738">
          <w:rPr>
            <w:rStyle w:val="Hyperlink"/>
          </w:rPr>
          <w:t>CbandHelp@ses.com</w:t>
        </w:r>
      </w:hyperlink>
      <w:r>
        <w:t xml:space="preserve"> or by phone at (609) 987-4400.</w:t>
      </w:r>
    </w:p>
    <w:p w14:paraId="38AFC03C" w14:textId="77777777" w:rsidR="000940D2" w:rsidRDefault="000940D2" w:rsidP="000940D2">
      <w:pPr>
        <w:spacing w:after="0"/>
        <w:ind w:left="2160" w:right="720" w:hanging="1440"/>
        <w:jc w:val="both"/>
      </w:pPr>
    </w:p>
    <w:p w14:paraId="2B492F1E" w14:textId="3C1D3B27" w:rsidR="00A238A0" w:rsidRDefault="00A238A0" w:rsidP="000940D2">
      <w:pPr>
        <w:pStyle w:val="ListParagraph"/>
        <w:numPr>
          <w:ilvl w:val="0"/>
          <w:numId w:val="6"/>
        </w:numPr>
        <w:spacing w:after="0" w:line="240" w:lineRule="auto"/>
        <w:contextualSpacing w:val="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 xml:space="preserve">The </w:t>
      </w:r>
      <w:r w:rsidR="000E013F">
        <w:rPr>
          <w:rFonts w:ascii="Times New Roman" w:eastAsia="Calibri" w:hAnsi="Times New Roman" w:cs="Times New Roman"/>
          <w:b/>
          <w:iCs/>
          <w:sz w:val="24"/>
          <w:szCs w:val="24"/>
        </w:rPr>
        <w:t xml:space="preserve">anticipated </w:t>
      </w:r>
      <w:r w:rsidR="006A522C">
        <w:rPr>
          <w:rFonts w:ascii="Times New Roman" w:eastAsia="Calibri" w:hAnsi="Times New Roman" w:cs="Times New Roman"/>
          <w:b/>
          <w:iCs/>
          <w:sz w:val="24"/>
          <w:szCs w:val="24"/>
        </w:rPr>
        <w:t xml:space="preserve">actual </w:t>
      </w:r>
      <w:r>
        <w:rPr>
          <w:rFonts w:ascii="Times New Roman" w:eastAsia="Calibri" w:hAnsi="Times New Roman" w:cs="Times New Roman"/>
          <w:b/>
          <w:iCs/>
          <w:sz w:val="24"/>
          <w:szCs w:val="24"/>
        </w:rPr>
        <w:t xml:space="preserve">costs of transitioning earth stations </w:t>
      </w:r>
      <w:r w:rsidR="004F3CEA">
        <w:rPr>
          <w:rFonts w:ascii="Times New Roman" w:eastAsia="Calibri" w:hAnsi="Times New Roman" w:cs="Times New Roman"/>
          <w:b/>
          <w:iCs/>
          <w:sz w:val="24"/>
          <w:szCs w:val="24"/>
          <w:u w:val="single"/>
        </w:rPr>
        <w:t>vary</w:t>
      </w:r>
      <w:r>
        <w:rPr>
          <w:rFonts w:ascii="Times New Roman" w:eastAsia="Calibri" w:hAnsi="Times New Roman" w:cs="Times New Roman"/>
          <w:b/>
          <w:iCs/>
          <w:sz w:val="24"/>
          <w:szCs w:val="24"/>
          <w:u w:val="single"/>
        </w:rPr>
        <w:t xml:space="preserve"> widely</w:t>
      </w:r>
      <w:r>
        <w:rPr>
          <w:rFonts w:ascii="Times New Roman" w:eastAsia="Calibri" w:hAnsi="Times New Roman" w:cs="Times New Roman"/>
          <w:b/>
          <w:iCs/>
          <w:sz w:val="24"/>
          <w:szCs w:val="24"/>
        </w:rPr>
        <w:t xml:space="preserve"> between licensees and registrants</w:t>
      </w:r>
      <w:r w:rsidRPr="00A238A0">
        <w:rPr>
          <w:rFonts w:ascii="Times New Roman" w:eastAsia="Calibri" w:hAnsi="Times New Roman" w:cs="Times New Roman"/>
          <w:b/>
          <w:iCs/>
          <w:sz w:val="24"/>
          <w:szCs w:val="24"/>
        </w:rPr>
        <w:t xml:space="preserve">. </w:t>
      </w:r>
      <w:r w:rsidR="000E013F">
        <w:rPr>
          <w:rFonts w:ascii="Times New Roman" w:eastAsia="Calibri" w:hAnsi="Times New Roman" w:cs="Times New Roman"/>
          <w:iCs/>
          <w:sz w:val="24"/>
          <w:szCs w:val="24"/>
        </w:rPr>
        <w:t>As noted above, the actual anticipated costs of transitioning earth stations can differ substantially, based on, for example</w:t>
      </w:r>
      <w:r w:rsidR="006A522C">
        <w:rPr>
          <w:rFonts w:ascii="Times New Roman" w:eastAsia="Calibri" w:hAnsi="Times New Roman" w:cs="Times New Roman"/>
          <w:iCs/>
          <w:sz w:val="24"/>
          <w:szCs w:val="24"/>
        </w:rPr>
        <w:t>:</w:t>
      </w:r>
      <w:r w:rsidR="000E013F">
        <w:rPr>
          <w:rFonts w:ascii="Times New Roman" w:eastAsia="Calibri" w:hAnsi="Times New Roman" w:cs="Times New Roman"/>
          <w:iCs/>
          <w:sz w:val="24"/>
          <w:szCs w:val="24"/>
        </w:rPr>
        <w:t xml:space="preserve"> the current location of your dish</w:t>
      </w:r>
      <w:r w:rsidR="006A522C">
        <w:rPr>
          <w:rFonts w:ascii="Times New Roman" w:eastAsia="Calibri" w:hAnsi="Times New Roman" w:cs="Times New Roman"/>
          <w:iCs/>
          <w:sz w:val="24"/>
          <w:szCs w:val="24"/>
        </w:rPr>
        <w:t>es;</w:t>
      </w:r>
      <w:r w:rsidR="000E013F">
        <w:rPr>
          <w:rFonts w:ascii="Times New Roman" w:eastAsia="Calibri" w:hAnsi="Times New Roman" w:cs="Times New Roman"/>
          <w:iCs/>
          <w:sz w:val="24"/>
          <w:szCs w:val="24"/>
        </w:rPr>
        <w:t xml:space="preserve"> the age of your antenna</w:t>
      </w:r>
      <w:r w:rsidR="006A522C">
        <w:rPr>
          <w:rFonts w:ascii="Times New Roman" w:eastAsia="Calibri" w:hAnsi="Times New Roman" w:cs="Times New Roman"/>
          <w:iCs/>
          <w:sz w:val="24"/>
          <w:szCs w:val="24"/>
        </w:rPr>
        <w:t>s</w:t>
      </w:r>
      <w:r w:rsidR="000E013F">
        <w:rPr>
          <w:rFonts w:ascii="Times New Roman" w:eastAsia="Calibri" w:hAnsi="Times New Roman" w:cs="Times New Roman"/>
          <w:iCs/>
          <w:sz w:val="24"/>
          <w:szCs w:val="24"/>
        </w:rPr>
        <w:t xml:space="preserve"> and/or facilities</w:t>
      </w:r>
      <w:r w:rsidR="006A522C">
        <w:rPr>
          <w:rFonts w:ascii="Times New Roman" w:eastAsia="Calibri" w:hAnsi="Times New Roman" w:cs="Times New Roman"/>
          <w:iCs/>
          <w:sz w:val="24"/>
          <w:szCs w:val="24"/>
        </w:rPr>
        <w:t>;</w:t>
      </w:r>
      <w:r w:rsidR="000E013F">
        <w:rPr>
          <w:rFonts w:ascii="Times New Roman" w:eastAsia="Calibri" w:hAnsi="Times New Roman" w:cs="Times New Roman"/>
          <w:iCs/>
          <w:sz w:val="24"/>
          <w:szCs w:val="24"/>
        </w:rPr>
        <w:t xml:space="preserve"> and whether you will need to </w:t>
      </w:r>
      <w:r w:rsidR="006A522C">
        <w:rPr>
          <w:rFonts w:ascii="Times New Roman" w:eastAsia="Calibri" w:hAnsi="Times New Roman" w:cs="Times New Roman"/>
          <w:iCs/>
          <w:sz w:val="24"/>
          <w:szCs w:val="24"/>
        </w:rPr>
        <w:t xml:space="preserve">transition to receiving </w:t>
      </w:r>
      <w:r w:rsidR="000E013F">
        <w:rPr>
          <w:rFonts w:ascii="Times New Roman" w:eastAsia="Calibri" w:hAnsi="Times New Roman" w:cs="Times New Roman"/>
          <w:iCs/>
          <w:sz w:val="24"/>
          <w:szCs w:val="24"/>
        </w:rPr>
        <w:t xml:space="preserve">signal from a different satellite after the transition or from various different satellites </w:t>
      </w:r>
      <w:r w:rsidR="000E013F">
        <w:rPr>
          <w:rFonts w:ascii="Times New Roman" w:eastAsia="Calibri" w:hAnsi="Times New Roman" w:cs="Times New Roman"/>
          <w:i/>
          <w:iCs/>
          <w:sz w:val="24"/>
          <w:szCs w:val="24"/>
        </w:rPr>
        <w:t>during</w:t>
      </w:r>
      <w:r w:rsidR="000E013F">
        <w:rPr>
          <w:rFonts w:ascii="Times New Roman" w:eastAsia="Calibri" w:hAnsi="Times New Roman" w:cs="Times New Roman"/>
          <w:iCs/>
          <w:sz w:val="24"/>
          <w:szCs w:val="24"/>
        </w:rPr>
        <w:t xml:space="preserve"> the transition. </w:t>
      </w:r>
      <w:r w:rsidR="00557095">
        <w:rPr>
          <w:rFonts w:ascii="Times New Roman" w:eastAsia="Calibri" w:hAnsi="Times New Roman" w:cs="Times New Roman"/>
          <w:iCs/>
          <w:sz w:val="24"/>
          <w:szCs w:val="24"/>
        </w:rPr>
        <w:t xml:space="preserve"> </w:t>
      </w:r>
      <w:r w:rsidR="006A522C">
        <w:rPr>
          <w:rFonts w:ascii="Times New Roman" w:eastAsia="Calibri" w:hAnsi="Times New Roman" w:cs="Times New Roman"/>
          <w:iCs/>
          <w:sz w:val="24"/>
          <w:szCs w:val="24"/>
        </w:rPr>
        <w:t xml:space="preserve">For precisely this reason, the lump sum amounts represent </w:t>
      </w:r>
      <w:r w:rsidR="006A522C">
        <w:rPr>
          <w:rFonts w:ascii="Times New Roman" w:eastAsia="Calibri" w:hAnsi="Times New Roman" w:cs="Times New Roman"/>
          <w:iCs/>
          <w:sz w:val="24"/>
          <w:szCs w:val="24"/>
        </w:rPr>
        <w:lastRenderedPageBreak/>
        <w:t xml:space="preserve">only the FCC-estimated </w:t>
      </w:r>
      <w:r w:rsidR="006A522C">
        <w:rPr>
          <w:rFonts w:ascii="Times New Roman" w:eastAsia="Calibri" w:hAnsi="Times New Roman" w:cs="Times New Roman"/>
          <w:iCs/>
          <w:sz w:val="24"/>
          <w:szCs w:val="24"/>
          <w:u w:val="single"/>
        </w:rPr>
        <w:t>average</w:t>
      </w:r>
      <w:r w:rsidR="006A522C" w:rsidRPr="006A522C">
        <w:rPr>
          <w:rFonts w:ascii="Times New Roman" w:eastAsia="Calibri" w:hAnsi="Times New Roman" w:cs="Times New Roman"/>
          <w:iCs/>
          <w:sz w:val="24"/>
          <w:szCs w:val="24"/>
        </w:rPr>
        <w:t xml:space="preserve"> </w:t>
      </w:r>
      <w:r w:rsidR="006A522C">
        <w:rPr>
          <w:rFonts w:ascii="Times New Roman" w:eastAsia="Calibri" w:hAnsi="Times New Roman" w:cs="Times New Roman"/>
          <w:iCs/>
          <w:sz w:val="24"/>
          <w:szCs w:val="24"/>
        </w:rPr>
        <w:t xml:space="preserve">cost of transitioning various classes of earth stations—i.e., it will likely cost substantially more than the applicable lump sum amount for some earth stations to successfully transition.  </w:t>
      </w:r>
      <w:r w:rsidR="00557095">
        <w:rPr>
          <w:rFonts w:ascii="Times New Roman" w:eastAsia="Calibri" w:hAnsi="Times New Roman" w:cs="Times New Roman"/>
          <w:iCs/>
          <w:sz w:val="24"/>
          <w:szCs w:val="24"/>
        </w:rPr>
        <w:t>Consequently, i</w:t>
      </w:r>
      <w:r w:rsidR="000E013F">
        <w:rPr>
          <w:rFonts w:ascii="Times New Roman" w:eastAsia="Calibri" w:hAnsi="Times New Roman" w:cs="Times New Roman"/>
          <w:iCs/>
          <w:sz w:val="24"/>
          <w:szCs w:val="24"/>
        </w:rPr>
        <w:t>n addition</w:t>
      </w:r>
      <w:r w:rsidR="00557095">
        <w:rPr>
          <w:rFonts w:ascii="Times New Roman" w:eastAsia="Calibri" w:hAnsi="Times New Roman" w:cs="Times New Roman"/>
          <w:iCs/>
          <w:sz w:val="24"/>
          <w:szCs w:val="24"/>
        </w:rPr>
        <w:t xml:space="preserve"> to</w:t>
      </w:r>
      <w:r w:rsidR="000E013F">
        <w:rPr>
          <w:rFonts w:ascii="Times New Roman" w:eastAsia="Calibri" w:hAnsi="Times New Roman" w:cs="Times New Roman"/>
          <w:iCs/>
          <w:sz w:val="24"/>
          <w:szCs w:val="24"/>
        </w:rPr>
        <w:t xml:space="preserve"> calling the help lines set forth above, it </w:t>
      </w:r>
      <w:r w:rsidR="00557095">
        <w:rPr>
          <w:rFonts w:ascii="Times New Roman" w:eastAsia="Calibri" w:hAnsi="Times New Roman" w:cs="Times New Roman"/>
          <w:iCs/>
          <w:sz w:val="24"/>
          <w:szCs w:val="24"/>
        </w:rPr>
        <w:t>will be</w:t>
      </w:r>
      <w:r w:rsidR="000E013F">
        <w:rPr>
          <w:rFonts w:ascii="Times New Roman" w:eastAsia="Calibri" w:hAnsi="Times New Roman" w:cs="Times New Roman"/>
          <w:iCs/>
          <w:sz w:val="24"/>
          <w:szCs w:val="24"/>
        </w:rPr>
        <w:t xml:space="preserve"> very important to gain a thorough understanding of what is likely to be required for the transition of your specific earth station(s), including by engaging your engineering team or a qualified consulting engineer to help </w:t>
      </w:r>
      <w:r w:rsidR="00557095">
        <w:rPr>
          <w:rFonts w:ascii="Times New Roman" w:eastAsia="Calibri" w:hAnsi="Times New Roman" w:cs="Times New Roman"/>
          <w:iCs/>
          <w:sz w:val="24"/>
          <w:szCs w:val="24"/>
        </w:rPr>
        <w:t xml:space="preserve">with </w:t>
      </w:r>
      <w:r w:rsidR="000E013F">
        <w:rPr>
          <w:rFonts w:ascii="Times New Roman" w:eastAsia="Calibri" w:hAnsi="Times New Roman" w:cs="Times New Roman"/>
          <w:iCs/>
          <w:sz w:val="24"/>
          <w:szCs w:val="24"/>
        </w:rPr>
        <w:t>that analysis</w:t>
      </w:r>
      <w:r w:rsidRPr="00A238A0">
        <w:rPr>
          <w:rFonts w:ascii="Times New Roman" w:eastAsia="Calibri" w:hAnsi="Times New Roman" w:cs="Times New Roman"/>
          <w:iCs/>
          <w:sz w:val="24"/>
          <w:szCs w:val="24"/>
        </w:rPr>
        <w:t>.</w:t>
      </w:r>
    </w:p>
    <w:p w14:paraId="48731385" w14:textId="77777777" w:rsidR="000940D2" w:rsidRPr="00A238A0" w:rsidRDefault="000940D2" w:rsidP="000940D2">
      <w:pPr>
        <w:pStyle w:val="ListParagraph"/>
        <w:spacing w:after="0" w:line="240" w:lineRule="auto"/>
        <w:contextualSpacing w:val="0"/>
        <w:jc w:val="both"/>
        <w:rPr>
          <w:rFonts w:ascii="Times New Roman" w:eastAsia="Calibri" w:hAnsi="Times New Roman" w:cs="Times New Roman"/>
          <w:iCs/>
          <w:sz w:val="24"/>
          <w:szCs w:val="24"/>
        </w:rPr>
      </w:pPr>
    </w:p>
    <w:p w14:paraId="2B82DB5F" w14:textId="38BBC79B" w:rsidR="00A238A0" w:rsidRDefault="00A238A0" w:rsidP="000940D2">
      <w:pPr>
        <w:pStyle w:val="ListParagraph"/>
        <w:numPr>
          <w:ilvl w:val="0"/>
          <w:numId w:val="6"/>
        </w:numPr>
        <w:spacing w:after="0" w:line="240" w:lineRule="auto"/>
        <w:contextualSpacing w:val="0"/>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Regardless whether</w:t>
      </w:r>
      <w:r w:rsidR="001B3B4C">
        <w:rPr>
          <w:rFonts w:ascii="Times New Roman" w:eastAsia="Calibri" w:hAnsi="Times New Roman" w:cs="Times New Roman"/>
          <w:b/>
          <w:iCs/>
          <w:sz w:val="24"/>
          <w:szCs w:val="24"/>
        </w:rPr>
        <w:t xml:space="preserve"> or not</w:t>
      </w:r>
      <w:r>
        <w:rPr>
          <w:rFonts w:ascii="Times New Roman" w:eastAsia="Calibri" w:hAnsi="Times New Roman" w:cs="Times New Roman"/>
          <w:b/>
          <w:iCs/>
          <w:sz w:val="24"/>
          <w:szCs w:val="24"/>
        </w:rPr>
        <w:t xml:space="preserve"> you elect lump sum reimbursement, you </w:t>
      </w:r>
      <w:r w:rsidR="00892D1B">
        <w:rPr>
          <w:rFonts w:ascii="Times New Roman" w:eastAsia="Calibri" w:hAnsi="Times New Roman" w:cs="Times New Roman"/>
          <w:b/>
          <w:iCs/>
          <w:sz w:val="24"/>
          <w:szCs w:val="24"/>
        </w:rPr>
        <w:t xml:space="preserve">are unlikely </w:t>
      </w:r>
      <w:r w:rsidR="001D32BA">
        <w:rPr>
          <w:rFonts w:ascii="Times New Roman" w:eastAsia="Calibri" w:hAnsi="Times New Roman" w:cs="Times New Roman"/>
          <w:b/>
          <w:iCs/>
          <w:sz w:val="24"/>
          <w:szCs w:val="24"/>
        </w:rPr>
        <w:t xml:space="preserve">to </w:t>
      </w:r>
      <w:r>
        <w:rPr>
          <w:rFonts w:ascii="Times New Roman" w:eastAsia="Calibri" w:hAnsi="Times New Roman" w:cs="Times New Roman"/>
          <w:b/>
          <w:iCs/>
          <w:sz w:val="24"/>
          <w:szCs w:val="24"/>
        </w:rPr>
        <w:t xml:space="preserve">receive any payment until </w:t>
      </w:r>
      <w:r w:rsidR="003555FB">
        <w:rPr>
          <w:rFonts w:ascii="Times New Roman" w:eastAsia="Calibri" w:hAnsi="Times New Roman" w:cs="Times New Roman"/>
          <w:b/>
          <w:iCs/>
          <w:sz w:val="24"/>
          <w:szCs w:val="24"/>
        </w:rPr>
        <w:t>sometime next year</w:t>
      </w:r>
      <w:r w:rsidRPr="00A238A0">
        <w:rPr>
          <w:rFonts w:ascii="Times New Roman" w:eastAsia="Calibri" w:hAnsi="Times New Roman" w:cs="Times New Roman"/>
          <w:b/>
          <w:iCs/>
          <w:sz w:val="24"/>
          <w:szCs w:val="24"/>
        </w:rPr>
        <w:t xml:space="preserve">. </w:t>
      </w:r>
      <w:r w:rsidR="000E013F">
        <w:rPr>
          <w:rFonts w:ascii="Times New Roman" w:eastAsia="Calibri" w:hAnsi="Times New Roman" w:cs="Times New Roman"/>
          <w:iCs/>
          <w:sz w:val="24"/>
          <w:szCs w:val="24"/>
        </w:rPr>
        <w:t xml:space="preserve">As a purely practical matter, the Relocation Payment Clearinghouse (i.e., the entity that will be in charge of administering lump sum </w:t>
      </w:r>
      <w:r w:rsidR="009F1296">
        <w:rPr>
          <w:rFonts w:ascii="Times New Roman" w:eastAsia="Calibri" w:hAnsi="Times New Roman" w:cs="Times New Roman"/>
          <w:iCs/>
          <w:sz w:val="24"/>
          <w:szCs w:val="24"/>
        </w:rPr>
        <w:t xml:space="preserve">payments </w:t>
      </w:r>
      <w:r w:rsidR="000E013F">
        <w:rPr>
          <w:rFonts w:ascii="Times New Roman" w:eastAsia="Calibri" w:hAnsi="Times New Roman" w:cs="Times New Roman"/>
          <w:iCs/>
          <w:sz w:val="24"/>
          <w:szCs w:val="24"/>
        </w:rPr>
        <w:t xml:space="preserve">and reasonable, actual-cost reimbursement) will not begin to receive funding until after the forthcoming </w:t>
      </w:r>
      <w:hyperlink r:id="rId13" w:history="1">
        <w:r w:rsidR="000E013F" w:rsidRPr="000E013F">
          <w:rPr>
            <w:rStyle w:val="Hyperlink"/>
            <w:rFonts w:ascii="Times New Roman" w:eastAsia="Calibri" w:hAnsi="Times New Roman" w:cs="Times New Roman"/>
            <w:iCs/>
            <w:sz w:val="24"/>
            <w:szCs w:val="24"/>
          </w:rPr>
          <w:t>December auction</w:t>
        </w:r>
      </w:hyperlink>
      <w:r w:rsidR="000E013F">
        <w:rPr>
          <w:rFonts w:ascii="Times New Roman" w:eastAsia="Calibri" w:hAnsi="Times New Roman" w:cs="Times New Roman"/>
          <w:iCs/>
          <w:sz w:val="24"/>
          <w:szCs w:val="24"/>
        </w:rPr>
        <w:t xml:space="preserve"> of new flexible-use overlay licenses in the 3.7-3.98 GHz band.  Accordingly, making a lump-sum election does not necessarily mean that you will receive payment any sooner than if you were to instead forego lump sum </w:t>
      </w:r>
      <w:r w:rsidR="001103C9">
        <w:rPr>
          <w:rFonts w:ascii="Times New Roman" w:eastAsia="Calibri" w:hAnsi="Times New Roman" w:cs="Times New Roman"/>
          <w:iCs/>
          <w:sz w:val="24"/>
          <w:szCs w:val="24"/>
        </w:rPr>
        <w:t>payment</w:t>
      </w:r>
      <w:r w:rsidR="000E013F">
        <w:rPr>
          <w:rFonts w:ascii="Times New Roman" w:eastAsia="Calibri" w:hAnsi="Times New Roman" w:cs="Times New Roman"/>
          <w:iCs/>
          <w:sz w:val="24"/>
          <w:szCs w:val="24"/>
        </w:rPr>
        <w:t xml:space="preserve"> in favor of reimbursement for the actual, reasonable costs of relocating your eligible, incumbent earth stations.</w:t>
      </w:r>
    </w:p>
    <w:p w14:paraId="16E54D51" w14:textId="2FB2CA78" w:rsidR="000940D2" w:rsidRPr="000940D2" w:rsidRDefault="000940D2" w:rsidP="000940D2">
      <w:pPr>
        <w:spacing w:after="0"/>
        <w:jc w:val="both"/>
        <w:rPr>
          <w:rFonts w:eastAsia="Calibri" w:cs="Times New Roman"/>
          <w:iCs/>
          <w:szCs w:val="24"/>
        </w:rPr>
      </w:pPr>
    </w:p>
    <w:p w14:paraId="60F57359" w14:textId="5957F8E2" w:rsidR="00A238A0" w:rsidRPr="00A238A0" w:rsidRDefault="003555FB" w:rsidP="000940D2">
      <w:pPr>
        <w:spacing w:after="0"/>
        <w:ind w:firstLine="720"/>
        <w:jc w:val="both"/>
        <w:rPr>
          <w:rFonts w:eastAsia="Calibri" w:cs="Times New Roman"/>
          <w:iCs/>
          <w:szCs w:val="24"/>
        </w:rPr>
      </w:pPr>
      <w:r>
        <w:rPr>
          <w:rFonts w:eastAsia="Calibri" w:cs="Times New Roman"/>
          <w:iCs/>
          <w:szCs w:val="24"/>
        </w:rPr>
        <w:t xml:space="preserve">We hope you find the foregoing </w:t>
      </w:r>
      <w:r w:rsidRPr="00864E46">
        <w:rPr>
          <w:rFonts w:eastAsia="Calibri" w:cs="Times New Roman"/>
          <w:iCs/>
          <w:szCs w:val="24"/>
          <w:u w:val="single"/>
        </w:rPr>
        <w:t>non</w:t>
      </w:r>
      <w:r>
        <w:rPr>
          <w:rFonts w:eastAsia="Calibri" w:cs="Times New Roman"/>
          <w:iCs/>
          <w:szCs w:val="24"/>
        </w:rPr>
        <w:t>-exclusive list of considerations helpful in determining whether or not to elect lump sum reimbursement by the September 14, 2020, deadline.  We strongly</w:t>
      </w:r>
      <w:r w:rsidR="00C050BF">
        <w:rPr>
          <w:rFonts w:eastAsia="Calibri" w:cs="Times New Roman"/>
          <w:iCs/>
          <w:szCs w:val="24"/>
        </w:rPr>
        <w:t xml:space="preserve"> encourage you to contact your communications c</w:t>
      </w:r>
      <w:r>
        <w:rPr>
          <w:rFonts w:eastAsia="Calibri" w:cs="Times New Roman"/>
          <w:iCs/>
          <w:szCs w:val="24"/>
        </w:rPr>
        <w:t>ounsel to discuss the factual specifics of your particular reimbursement situation</w:t>
      </w:r>
      <w:r w:rsidR="00A238A0">
        <w:rPr>
          <w:rFonts w:eastAsia="Calibri" w:cs="Times New Roman"/>
          <w:iCs/>
          <w:szCs w:val="24"/>
        </w:rPr>
        <w:t>.</w:t>
      </w:r>
    </w:p>
    <w:p w14:paraId="1CE69C91" w14:textId="77777777" w:rsidR="009539AE" w:rsidRPr="00417456" w:rsidRDefault="009539AE" w:rsidP="000940D2">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31D2AAC9" w14:textId="7CFE01F1" w:rsidR="008B1CD1" w:rsidRDefault="008B1CD1" w:rsidP="000940D2">
      <w:pPr>
        <w:autoSpaceDE w:val="0"/>
        <w:autoSpaceDN w:val="0"/>
        <w:adjustRightInd w:val="0"/>
        <w:spacing w:after="0"/>
        <w:jc w:val="both"/>
        <w:rPr>
          <w:rFonts w:eastAsia="Calibri" w:cs="Times New Roman"/>
          <w:szCs w:val="24"/>
        </w:rPr>
      </w:pPr>
    </w:p>
    <w:p w14:paraId="23CF6AC5" w14:textId="27CB8BE7" w:rsidR="008B1CD1" w:rsidRPr="00A05952" w:rsidRDefault="00A05952" w:rsidP="000940D2">
      <w:pPr>
        <w:pStyle w:val="Heading1"/>
        <w:rPr>
          <w:rFonts w:eastAsia="Times New Roman"/>
          <w:b/>
          <w:sz w:val="32"/>
          <w:u w:val="single"/>
        </w:rPr>
      </w:pPr>
      <w:bookmarkStart w:id="46" w:name="_Enforcement_Bureau_Issues"/>
      <w:bookmarkStart w:id="47" w:name="_RMLC_and_SESAC"/>
      <w:bookmarkEnd w:id="46"/>
      <w:bookmarkEnd w:id="47"/>
      <w:r>
        <w:rPr>
          <w:rFonts w:eastAsia="Times New Roman"/>
          <w:sz w:val="32"/>
        </w:rPr>
        <w:t xml:space="preserve">RMLC and SESAC Finalize New Radio Performance License Agreement; </w:t>
      </w:r>
      <w:r w:rsidR="0020632F">
        <w:rPr>
          <w:rFonts w:eastAsia="Times New Roman"/>
          <w:sz w:val="32"/>
        </w:rPr>
        <w:t xml:space="preserve">Eligible </w:t>
      </w:r>
      <w:r w:rsidR="00E02759">
        <w:rPr>
          <w:rFonts w:eastAsia="Times New Roman"/>
          <w:sz w:val="32"/>
        </w:rPr>
        <w:t xml:space="preserve">Commercial </w:t>
      </w:r>
      <w:r>
        <w:rPr>
          <w:rFonts w:eastAsia="Times New Roman"/>
          <w:sz w:val="32"/>
        </w:rPr>
        <w:t xml:space="preserve">Radio Stations Must Opt-in by </w:t>
      </w:r>
      <w:r>
        <w:rPr>
          <w:rFonts w:eastAsia="Times New Roman"/>
          <w:b/>
          <w:sz w:val="32"/>
          <w:u w:val="single"/>
        </w:rPr>
        <w:t>September 23, 2020</w:t>
      </w:r>
    </w:p>
    <w:p w14:paraId="673FD6FD" w14:textId="77777777" w:rsidR="008B1CD1" w:rsidRPr="00382035" w:rsidRDefault="008B1CD1" w:rsidP="000940D2">
      <w:pPr>
        <w:spacing w:after="0"/>
      </w:pPr>
    </w:p>
    <w:p w14:paraId="0411EBB7" w14:textId="607B572A" w:rsidR="0020632F" w:rsidRPr="0020632F" w:rsidRDefault="00C60EA9" w:rsidP="000940D2">
      <w:pPr>
        <w:autoSpaceDE w:val="0"/>
        <w:autoSpaceDN w:val="0"/>
        <w:adjustRightInd w:val="0"/>
        <w:spacing w:after="0"/>
        <w:ind w:firstLine="720"/>
        <w:jc w:val="both"/>
        <w:rPr>
          <w:rFonts w:eastAsia="Calibri" w:cs="Times New Roman"/>
          <w:iCs/>
          <w:szCs w:val="24"/>
        </w:rPr>
      </w:pPr>
      <w:r w:rsidRPr="00C60EA9">
        <w:rPr>
          <w:rFonts w:eastAsia="Calibri" w:cs="Times New Roman"/>
          <w:iCs/>
          <w:szCs w:val="24"/>
        </w:rPr>
        <w:t xml:space="preserve">The Radio Music License Committee (“RMLC”) and the performing rights organization SESAC have reached an agreement </w:t>
      </w:r>
      <w:r w:rsidR="00F3051A">
        <w:rPr>
          <w:rFonts w:eastAsia="Calibri" w:cs="Times New Roman"/>
          <w:iCs/>
          <w:szCs w:val="24"/>
        </w:rPr>
        <w:t xml:space="preserve">regarding </w:t>
      </w:r>
      <w:r w:rsidRPr="00C60EA9">
        <w:rPr>
          <w:rFonts w:eastAsia="Calibri" w:cs="Times New Roman"/>
          <w:iCs/>
          <w:szCs w:val="24"/>
        </w:rPr>
        <w:t xml:space="preserve">commercial radio station licensing and royalty rates for </w:t>
      </w:r>
      <w:r w:rsidR="00F3051A">
        <w:rPr>
          <w:rFonts w:eastAsia="Calibri" w:cs="Times New Roman"/>
          <w:iCs/>
          <w:szCs w:val="24"/>
        </w:rPr>
        <w:t xml:space="preserve">the musical works contained in SESAC’s repertoire for </w:t>
      </w:r>
      <w:r w:rsidRPr="00C60EA9">
        <w:rPr>
          <w:rFonts w:eastAsia="Calibri" w:cs="Times New Roman"/>
          <w:iCs/>
          <w:szCs w:val="24"/>
        </w:rPr>
        <w:t xml:space="preserve">the </w:t>
      </w:r>
      <w:r w:rsidR="00F3051A">
        <w:rPr>
          <w:rFonts w:eastAsia="Calibri" w:cs="Times New Roman"/>
          <w:iCs/>
          <w:szCs w:val="24"/>
        </w:rPr>
        <w:t xml:space="preserve">four-year </w:t>
      </w:r>
      <w:r w:rsidRPr="00C60EA9">
        <w:rPr>
          <w:rFonts w:eastAsia="Calibri" w:cs="Times New Roman"/>
          <w:iCs/>
          <w:szCs w:val="24"/>
        </w:rPr>
        <w:t>period covering January 1, 2019, to December 31, 2022.</w:t>
      </w:r>
      <w:r w:rsidR="0020632F">
        <w:rPr>
          <w:rFonts w:eastAsia="Calibri" w:cs="Times New Roman"/>
          <w:iCs/>
          <w:szCs w:val="24"/>
        </w:rPr>
        <w:t xml:space="preserve">  Eligible c</w:t>
      </w:r>
      <w:r>
        <w:rPr>
          <w:rFonts w:eastAsia="Calibri" w:cs="Times New Roman"/>
          <w:iCs/>
          <w:szCs w:val="24"/>
        </w:rPr>
        <w:t>ommercial radio stations may opt-in to the agreement by Wednesday,</w:t>
      </w:r>
      <w:r w:rsidR="00F3051A">
        <w:rPr>
          <w:rFonts w:eastAsia="Calibri" w:cs="Times New Roman"/>
          <w:iCs/>
          <w:szCs w:val="24"/>
        </w:rPr>
        <w:t> </w:t>
      </w:r>
      <w:r>
        <w:rPr>
          <w:rFonts w:eastAsia="Calibri" w:cs="Times New Roman"/>
          <w:b/>
          <w:iCs/>
          <w:szCs w:val="24"/>
        </w:rPr>
        <w:t>September</w:t>
      </w:r>
      <w:r w:rsidR="00F3051A">
        <w:rPr>
          <w:rFonts w:eastAsia="Calibri" w:cs="Times New Roman"/>
          <w:b/>
          <w:iCs/>
          <w:szCs w:val="24"/>
        </w:rPr>
        <w:t> </w:t>
      </w:r>
      <w:r>
        <w:rPr>
          <w:rFonts w:eastAsia="Calibri" w:cs="Times New Roman"/>
          <w:b/>
          <w:iCs/>
          <w:szCs w:val="24"/>
        </w:rPr>
        <w:t>23,</w:t>
      </w:r>
      <w:r w:rsidR="00F3051A">
        <w:rPr>
          <w:rFonts w:eastAsia="Calibri" w:cs="Times New Roman"/>
          <w:b/>
          <w:iCs/>
          <w:szCs w:val="24"/>
        </w:rPr>
        <w:t> </w:t>
      </w:r>
      <w:r>
        <w:rPr>
          <w:rFonts w:eastAsia="Calibri" w:cs="Times New Roman"/>
          <w:b/>
          <w:iCs/>
          <w:szCs w:val="24"/>
        </w:rPr>
        <w:t>2020</w:t>
      </w:r>
      <w:r>
        <w:rPr>
          <w:rFonts w:eastAsia="Calibri" w:cs="Times New Roman"/>
          <w:iCs/>
          <w:szCs w:val="24"/>
        </w:rPr>
        <w:t>,</w:t>
      </w:r>
      <w:r w:rsidR="00F3051A">
        <w:rPr>
          <w:rFonts w:eastAsia="Calibri" w:cs="Times New Roman"/>
          <w:iCs/>
          <w:szCs w:val="24"/>
        </w:rPr>
        <w:t> </w:t>
      </w:r>
      <w:r>
        <w:rPr>
          <w:rFonts w:eastAsia="Calibri" w:cs="Times New Roman"/>
          <w:iCs/>
          <w:szCs w:val="24"/>
        </w:rPr>
        <w:t>by</w:t>
      </w:r>
      <w:r w:rsidR="00F3051A">
        <w:rPr>
          <w:rFonts w:eastAsia="Calibri" w:cs="Times New Roman"/>
          <w:iCs/>
          <w:szCs w:val="24"/>
        </w:rPr>
        <w:t> </w:t>
      </w:r>
      <w:r>
        <w:rPr>
          <w:rFonts w:eastAsia="Calibri" w:cs="Times New Roman"/>
          <w:iCs/>
          <w:szCs w:val="24"/>
        </w:rPr>
        <w:t>visiting</w:t>
      </w:r>
      <w:r w:rsidR="00F3051A">
        <w:rPr>
          <w:rFonts w:eastAsia="Calibri" w:cs="Times New Roman"/>
          <w:iCs/>
          <w:szCs w:val="24"/>
        </w:rPr>
        <w:t> </w:t>
      </w:r>
      <w:hyperlink r:id="rId14" w:anchor="!/rmlc" w:history="1">
        <w:r w:rsidRPr="00C60EA9">
          <w:rPr>
            <w:rStyle w:val="Hyperlink"/>
            <w:rFonts w:eastAsia="Calibri" w:cs="Times New Roman"/>
            <w:iCs/>
            <w:szCs w:val="24"/>
          </w:rPr>
          <w:t>www.sesac.com/#!/rmlc</w:t>
        </w:r>
      </w:hyperlink>
      <w:r w:rsidR="0020632F">
        <w:rPr>
          <w:rFonts w:eastAsia="Calibri" w:cs="Times New Roman"/>
          <w:iCs/>
          <w:szCs w:val="24"/>
        </w:rPr>
        <w:t xml:space="preserve"> and (1) </w:t>
      </w:r>
      <w:r>
        <w:rPr>
          <w:rFonts w:eastAsia="Calibri" w:cs="Times New Roman"/>
          <w:iCs/>
          <w:szCs w:val="24"/>
        </w:rPr>
        <w:t>submitting a 2019 Annual Report and (2) reviewing and signing the agreement</w:t>
      </w:r>
      <w:r w:rsidR="006507CD" w:rsidRPr="006507CD">
        <w:rPr>
          <w:rFonts w:eastAsia="Calibri" w:cs="Times New Roman"/>
          <w:iCs/>
          <w:szCs w:val="24"/>
        </w:rPr>
        <w:t>.</w:t>
      </w:r>
    </w:p>
    <w:p w14:paraId="5CB7B9C9" w14:textId="0F5F30EF" w:rsidR="00BD0446" w:rsidRDefault="00BD0446" w:rsidP="000940D2">
      <w:pPr>
        <w:autoSpaceDE w:val="0"/>
        <w:autoSpaceDN w:val="0"/>
        <w:adjustRightInd w:val="0"/>
        <w:spacing w:after="0"/>
        <w:jc w:val="both"/>
        <w:rPr>
          <w:rFonts w:eastAsia="Calibri" w:cs="Times New Roman"/>
          <w:iCs/>
          <w:szCs w:val="24"/>
        </w:rPr>
      </w:pPr>
    </w:p>
    <w:p w14:paraId="06A524F7" w14:textId="03A857C5" w:rsidR="0018219D" w:rsidRPr="0018219D" w:rsidRDefault="00BD0446" w:rsidP="000940D2">
      <w:pPr>
        <w:tabs>
          <w:tab w:val="left" w:pos="720"/>
        </w:tabs>
        <w:spacing w:after="0"/>
        <w:jc w:val="both"/>
        <w:rPr>
          <w:rFonts w:eastAsia="Calibri" w:cs="Times New Roman"/>
        </w:rPr>
      </w:pPr>
      <w:r w:rsidRPr="009D5F93">
        <w:rPr>
          <w:rFonts w:eastAsia="Calibri" w:cs="Times New Roman"/>
          <w:i/>
          <w:color w:val="2E74B5" w:themeColor="accent1" w:themeShade="BF"/>
        </w:rPr>
        <w:t>Background</w:t>
      </w:r>
      <w:r>
        <w:rPr>
          <w:rFonts w:eastAsia="Calibri" w:cs="Times New Roman"/>
        </w:rPr>
        <w:t xml:space="preserve">.  The Radio Music License Committee (“RMLC”) represents commercial radio stations in music licensing matters with (more often </w:t>
      </w:r>
      <w:r w:rsidRPr="0083664C">
        <w:rPr>
          <w:rFonts w:eastAsia="Calibri" w:cs="Times New Roman"/>
          <w:i/>
        </w:rPr>
        <w:t>against</w:t>
      </w:r>
      <w:r>
        <w:rPr>
          <w:rFonts w:eastAsia="Calibri" w:cs="Times New Roman"/>
        </w:rPr>
        <w:t>) perform</w:t>
      </w:r>
      <w:r w:rsidR="003E0620">
        <w:rPr>
          <w:rFonts w:eastAsia="Calibri" w:cs="Times New Roman"/>
        </w:rPr>
        <w:t>ing</w:t>
      </w:r>
      <w:r>
        <w:rPr>
          <w:rFonts w:eastAsia="Calibri" w:cs="Times New Roman"/>
        </w:rPr>
        <w:t xml:space="preserve"> rights organizations such as ASCAP, BMI, SESAC, and GMR. </w:t>
      </w:r>
      <w:r w:rsidR="00AE1D7A">
        <w:rPr>
          <w:rFonts w:eastAsia="Calibri" w:cs="Times New Roman"/>
        </w:rPr>
        <w:t xml:space="preserve"> </w:t>
      </w:r>
      <w:r>
        <w:rPr>
          <w:rFonts w:eastAsia="Calibri" w:cs="Times New Roman"/>
        </w:rPr>
        <w:t>While BMI and ASCAP licenses and rate-setting are governed by longstanding consent decrees, SESAC licensing and rate-setting are not—</w:t>
      </w:r>
      <w:r w:rsidR="006A14F2">
        <w:rPr>
          <w:rFonts w:eastAsia="Calibri" w:cs="Times New Roman"/>
        </w:rPr>
        <w:t>and that</w:t>
      </w:r>
      <w:r>
        <w:rPr>
          <w:rFonts w:eastAsia="Calibri" w:cs="Times New Roman"/>
        </w:rPr>
        <w:t xml:space="preserve"> set the stage for litigation between </w:t>
      </w:r>
      <w:r w:rsidR="00B81F33">
        <w:rPr>
          <w:rFonts w:eastAsia="Calibri" w:cs="Times New Roman"/>
        </w:rPr>
        <w:t>SESAC and RMLC</w:t>
      </w:r>
      <w:r>
        <w:rPr>
          <w:rFonts w:eastAsia="Calibri" w:cs="Times New Roman"/>
        </w:rPr>
        <w:t xml:space="preserve">.  RMLC filed an antitrust lawsuit against SESAC in 2012, which was later settled in 2015 on the basis that SESAC would agree to have its license fees determined by binding arbitration on rates for the next 20 or so years. </w:t>
      </w:r>
      <w:r w:rsidR="00AE1D7A">
        <w:rPr>
          <w:rFonts w:eastAsia="Calibri" w:cs="Times New Roman"/>
        </w:rPr>
        <w:t xml:space="preserve"> </w:t>
      </w:r>
      <w:r>
        <w:rPr>
          <w:rFonts w:eastAsia="Calibri" w:cs="Times New Roman"/>
        </w:rPr>
        <w:t>The first such arbitration was completed in 2017, and it cover</w:t>
      </w:r>
      <w:r w:rsidR="00B81F33">
        <w:rPr>
          <w:rFonts w:eastAsia="Calibri" w:cs="Times New Roman"/>
        </w:rPr>
        <w:t>ed</w:t>
      </w:r>
      <w:r>
        <w:rPr>
          <w:rFonts w:eastAsia="Calibri" w:cs="Times New Roman"/>
        </w:rPr>
        <w:t xml:space="preserve"> the period January 1, 2016, through December 31, 2018.</w:t>
      </w:r>
      <w:r w:rsidR="0018219D">
        <w:rPr>
          <w:rFonts w:eastAsia="Calibri" w:cs="Times New Roman"/>
        </w:rPr>
        <w:t xml:space="preserve">  Commercial radio stations then had </w:t>
      </w:r>
      <w:r w:rsidR="006A14F2">
        <w:rPr>
          <w:rFonts w:eastAsia="Calibri" w:cs="Times New Roman"/>
        </w:rPr>
        <w:t>until March 31, 2018, to opt-</w:t>
      </w:r>
      <w:r w:rsidR="0018219D" w:rsidRPr="0018219D">
        <w:rPr>
          <w:rFonts w:eastAsia="Calibri" w:cs="Times New Roman"/>
        </w:rPr>
        <w:t xml:space="preserve">in to representation by RMLC in negotiations with SESAC for the </w:t>
      </w:r>
      <w:r w:rsidR="00E02759">
        <w:rPr>
          <w:rFonts w:eastAsia="Calibri" w:cs="Times New Roman"/>
        </w:rPr>
        <w:t xml:space="preserve">next </w:t>
      </w:r>
      <w:r w:rsidR="0018219D" w:rsidRPr="0018219D">
        <w:rPr>
          <w:rFonts w:eastAsia="Calibri" w:cs="Times New Roman"/>
        </w:rPr>
        <w:t>license period</w:t>
      </w:r>
      <w:r w:rsidR="00E02759">
        <w:rPr>
          <w:rFonts w:eastAsia="Calibri" w:cs="Times New Roman"/>
        </w:rPr>
        <w:t>, covering</w:t>
      </w:r>
      <w:r w:rsidR="0018219D" w:rsidRPr="0018219D">
        <w:rPr>
          <w:rFonts w:eastAsia="Calibri" w:cs="Times New Roman"/>
        </w:rPr>
        <w:t xml:space="preserve"> January 1, 2019, through December 31, 2022.</w:t>
      </w:r>
    </w:p>
    <w:p w14:paraId="5B000910" w14:textId="25235CDC" w:rsidR="00BD0446" w:rsidRDefault="00BD0446" w:rsidP="000940D2">
      <w:pPr>
        <w:tabs>
          <w:tab w:val="left" w:pos="720"/>
        </w:tabs>
        <w:spacing w:after="0"/>
        <w:jc w:val="both"/>
        <w:rPr>
          <w:rFonts w:eastAsia="Calibri" w:cs="Times New Roman"/>
        </w:rPr>
      </w:pPr>
    </w:p>
    <w:p w14:paraId="51E4FD4A" w14:textId="4252CCB5" w:rsidR="00BD0446" w:rsidRDefault="00E02759" w:rsidP="000940D2">
      <w:pPr>
        <w:autoSpaceDE w:val="0"/>
        <w:autoSpaceDN w:val="0"/>
        <w:adjustRightInd w:val="0"/>
        <w:spacing w:after="0"/>
        <w:jc w:val="both"/>
        <w:rPr>
          <w:rFonts w:eastAsia="Calibri" w:cs="Times New Roman"/>
        </w:rPr>
      </w:pPr>
      <w:r>
        <w:rPr>
          <w:rFonts w:eastAsia="Calibri" w:cs="Times New Roman"/>
          <w:i/>
          <w:color w:val="2E74B5" w:themeColor="accent1" w:themeShade="BF"/>
        </w:rPr>
        <w:t>The New Agreement</w:t>
      </w:r>
      <w:r>
        <w:rPr>
          <w:rFonts w:eastAsia="Calibri" w:cs="Times New Roman"/>
        </w:rPr>
        <w:t>.  The new agreement (i.e.,</w:t>
      </w:r>
      <w:r w:rsidR="00A406F6">
        <w:rPr>
          <w:rFonts w:eastAsia="Calibri" w:cs="Times New Roman"/>
        </w:rPr>
        <w:t xml:space="preserve"> the agreement that covers</w:t>
      </w:r>
      <w:r>
        <w:rPr>
          <w:rFonts w:eastAsia="Calibri" w:cs="Times New Roman"/>
        </w:rPr>
        <w:t xml:space="preserve"> January 1, 2019, through December 31, 2022) maintains the terms and royalty rates from the prior agreement.  The rates include a blanket license fee of 0.2557% of net revenue and an “All-Talk”</w:t>
      </w:r>
      <w:r w:rsidR="00AE1D7A">
        <w:rPr>
          <w:rFonts w:eastAsia="Calibri" w:cs="Times New Roman"/>
        </w:rPr>
        <w:t xml:space="preserve"> rate of 0.0575% of </w:t>
      </w:r>
      <w:r w:rsidR="00AE1D7A">
        <w:rPr>
          <w:rFonts w:eastAsia="Calibri" w:cs="Times New Roman"/>
        </w:rPr>
        <w:lastRenderedPageBreak/>
        <w:t>revenue (</w:t>
      </w:r>
      <w:r w:rsidR="0006012E">
        <w:rPr>
          <w:rFonts w:eastAsia="Calibri" w:cs="Times New Roman"/>
        </w:rPr>
        <w:t>to qualify for</w:t>
      </w:r>
      <w:r w:rsidR="00AE1D7A">
        <w:rPr>
          <w:rFonts w:eastAsia="Calibri" w:cs="Times New Roman"/>
        </w:rPr>
        <w:t xml:space="preserve"> “All-Talk” rates, a station must certify that it is “currently broadcasting programs consisting substantially of news narration or dialogue, devoid of feature musical presentations, such musical elements as are broadcast being interwoven with commercial announcements, or as background music in live and/or recorded coverage of news events and the like”).</w:t>
      </w:r>
      <w:r>
        <w:rPr>
          <w:rFonts w:eastAsia="Calibri" w:cs="Times New Roman"/>
        </w:rPr>
        <w:t xml:space="preserve"> </w:t>
      </w:r>
      <w:r w:rsidR="00AE1D7A">
        <w:rPr>
          <w:rFonts w:eastAsia="Calibri" w:cs="Times New Roman"/>
        </w:rPr>
        <w:t xml:space="preserve"> T</w:t>
      </w:r>
      <w:r>
        <w:rPr>
          <w:rFonts w:eastAsia="Calibri" w:cs="Times New Roman"/>
        </w:rPr>
        <w:t>he agreement applies to</w:t>
      </w:r>
      <w:r w:rsidR="00AE1D7A">
        <w:rPr>
          <w:rFonts w:eastAsia="Calibri" w:cs="Times New Roman"/>
        </w:rPr>
        <w:t xml:space="preserve"> commercial radio</w:t>
      </w:r>
      <w:r>
        <w:rPr>
          <w:rFonts w:eastAsia="Calibri" w:cs="Times New Roman"/>
        </w:rPr>
        <w:t xml:space="preserve"> stations</w:t>
      </w:r>
      <w:r w:rsidR="00F3051A">
        <w:rPr>
          <w:rFonts w:eastAsia="Calibri" w:cs="Times New Roman"/>
        </w:rPr>
        <w:t>’</w:t>
      </w:r>
      <w:r>
        <w:rPr>
          <w:rFonts w:eastAsia="Calibri" w:cs="Times New Roman"/>
        </w:rPr>
        <w:t xml:space="preserve"> over-the-air broadcast</w:t>
      </w:r>
      <w:r w:rsidR="00F3051A">
        <w:rPr>
          <w:rFonts w:eastAsia="Calibri" w:cs="Times New Roman"/>
        </w:rPr>
        <w:t>s</w:t>
      </w:r>
      <w:r>
        <w:rPr>
          <w:rFonts w:eastAsia="Calibri" w:cs="Times New Roman"/>
        </w:rPr>
        <w:t>, simulcast streams, and HD signals.</w:t>
      </w:r>
      <w:r w:rsidR="00F3051A">
        <w:rPr>
          <w:rFonts w:eastAsia="Calibri" w:cs="Times New Roman"/>
        </w:rPr>
        <w:t xml:space="preserve">  A copy of the agreement is available both at the SESAC opt-in link set forth above, as well as </w:t>
      </w:r>
      <w:hyperlink r:id="rId15" w:history="1">
        <w:r w:rsidR="00F3051A" w:rsidRPr="00F3051A">
          <w:rPr>
            <w:rStyle w:val="Hyperlink"/>
            <w:rFonts w:eastAsia="Calibri" w:cs="Times New Roman"/>
          </w:rPr>
          <w:t>on RMLC’s website</w:t>
        </w:r>
      </w:hyperlink>
      <w:r w:rsidR="00F3051A">
        <w:rPr>
          <w:rFonts w:eastAsia="Calibri" w:cs="Times New Roman"/>
        </w:rPr>
        <w:t>.</w:t>
      </w:r>
    </w:p>
    <w:p w14:paraId="5F2E0CDF" w14:textId="29B8A96C" w:rsidR="00AE1D7A" w:rsidRDefault="00AE1D7A" w:rsidP="000940D2">
      <w:pPr>
        <w:autoSpaceDE w:val="0"/>
        <w:autoSpaceDN w:val="0"/>
        <w:adjustRightInd w:val="0"/>
        <w:spacing w:after="0"/>
        <w:jc w:val="both"/>
        <w:rPr>
          <w:rFonts w:eastAsia="Calibri" w:cs="Times New Roman"/>
        </w:rPr>
      </w:pPr>
    </w:p>
    <w:p w14:paraId="1D5EB8BC" w14:textId="75A281C0" w:rsidR="00AE1D7A" w:rsidRPr="00AE1D7A" w:rsidRDefault="00A406F6" w:rsidP="000940D2">
      <w:pPr>
        <w:tabs>
          <w:tab w:val="left" w:pos="720"/>
        </w:tabs>
        <w:spacing w:after="0"/>
        <w:jc w:val="both"/>
        <w:rPr>
          <w:rFonts w:eastAsia="Calibri" w:cs="Times New Roman"/>
        </w:rPr>
      </w:pPr>
      <w:r>
        <w:rPr>
          <w:rFonts w:eastAsia="Calibri" w:cs="Times New Roman"/>
          <w:i/>
          <w:color w:val="2E74B5" w:themeColor="accent1" w:themeShade="BF"/>
        </w:rPr>
        <w:t>Which Stations are</w:t>
      </w:r>
      <w:r w:rsidR="00AE1D7A" w:rsidRPr="00AE1D7A">
        <w:rPr>
          <w:rFonts w:eastAsia="Calibri" w:cs="Times New Roman"/>
          <w:i/>
          <w:color w:val="2E74B5" w:themeColor="accent1" w:themeShade="BF"/>
        </w:rPr>
        <w:t xml:space="preserve"> Eligible to Participate.</w:t>
      </w:r>
      <w:r w:rsidR="00AE1D7A" w:rsidRPr="00AE1D7A">
        <w:rPr>
          <w:rFonts w:eastAsia="Calibri" w:cs="Times New Roman"/>
        </w:rPr>
        <w:t xml:space="preserve">  Participation in the </w:t>
      </w:r>
      <w:r w:rsidR="00AE1D7A">
        <w:rPr>
          <w:rFonts w:eastAsia="Calibri" w:cs="Times New Roman"/>
        </w:rPr>
        <w:t>new agreement</w:t>
      </w:r>
      <w:r w:rsidR="00AE1D7A" w:rsidRPr="00AE1D7A">
        <w:rPr>
          <w:rFonts w:eastAsia="Calibri" w:cs="Times New Roman"/>
        </w:rPr>
        <w:t xml:space="preserve"> is limited to commercial radio stations that initially authorized the RMLC </w:t>
      </w:r>
      <w:r w:rsidR="00E71350">
        <w:rPr>
          <w:rFonts w:eastAsia="Calibri" w:cs="Times New Roman"/>
        </w:rPr>
        <w:t>by March 31, 2018,</w:t>
      </w:r>
      <w:r w:rsidR="00AE1D7A" w:rsidRPr="00AE1D7A">
        <w:rPr>
          <w:rFonts w:eastAsia="Calibri" w:cs="Times New Roman"/>
        </w:rPr>
        <w:t xml:space="preserve"> to represent them in negotiations against SESAC for the license term of </w:t>
      </w:r>
      <w:r w:rsidR="00E71350" w:rsidRPr="00E71350">
        <w:rPr>
          <w:rFonts w:eastAsia="Calibri" w:cs="Times New Roman"/>
        </w:rPr>
        <w:t xml:space="preserve">January 1, </w:t>
      </w:r>
      <w:r w:rsidR="00E71350">
        <w:rPr>
          <w:rFonts w:eastAsia="Calibri" w:cs="Times New Roman"/>
        </w:rPr>
        <w:t>2019, through December 31, 2022</w:t>
      </w:r>
      <w:r w:rsidR="00AE1D7A" w:rsidRPr="00AE1D7A">
        <w:rPr>
          <w:rFonts w:eastAsia="Calibri" w:cs="Times New Roman"/>
        </w:rPr>
        <w:t>, and that maintained their eligible status throughout that process.</w:t>
      </w:r>
    </w:p>
    <w:p w14:paraId="2F74786E" w14:textId="77777777" w:rsidR="00AE1D7A" w:rsidRPr="00AE1D7A" w:rsidRDefault="00AE1D7A" w:rsidP="000940D2">
      <w:pPr>
        <w:tabs>
          <w:tab w:val="left" w:pos="720"/>
        </w:tabs>
        <w:spacing w:after="0"/>
        <w:jc w:val="both"/>
        <w:rPr>
          <w:rFonts w:eastAsia="Calibri" w:cs="Times New Roman"/>
        </w:rPr>
      </w:pPr>
    </w:p>
    <w:p w14:paraId="35DE0A61" w14:textId="38C377B5" w:rsidR="008D4274" w:rsidRPr="00E16390" w:rsidRDefault="00AE1D7A" w:rsidP="000940D2">
      <w:pPr>
        <w:tabs>
          <w:tab w:val="left" w:pos="720"/>
        </w:tabs>
        <w:spacing w:after="0"/>
        <w:jc w:val="both"/>
        <w:rPr>
          <w:rFonts w:eastAsia="Calibri" w:cs="Times New Roman"/>
          <w:iCs/>
          <w:szCs w:val="24"/>
        </w:rPr>
      </w:pPr>
      <w:r w:rsidRPr="00AE1D7A">
        <w:rPr>
          <w:rFonts w:eastAsia="Calibri" w:cs="Times New Roman"/>
          <w:i/>
          <w:color w:val="2E74B5" w:themeColor="accent1" w:themeShade="BF"/>
        </w:rPr>
        <w:t>What to Do</w:t>
      </w:r>
      <w:r w:rsidRPr="00AE1D7A">
        <w:rPr>
          <w:rFonts w:eastAsia="Calibri" w:cs="Times New Roman"/>
        </w:rPr>
        <w:t>.  First, determine if you</w:t>
      </w:r>
      <w:r w:rsidR="00A406F6">
        <w:rPr>
          <w:rFonts w:eastAsia="Calibri" w:cs="Times New Roman"/>
        </w:rPr>
        <w:t xml:space="preserve">r station is </w:t>
      </w:r>
      <w:r w:rsidRPr="00AE1D7A">
        <w:rPr>
          <w:rFonts w:eastAsia="Calibri" w:cs="Times New Roman"/>
        </w:rPr>
        <w:t xml:space="preserve">eligible to participate in the </w:t>
      </w:r>
      <w:r w:rsidR="00707F19">
        <w:rPr>
          <w:rFonts w:eastAsia="Calibri" w:cs="Times New Roman"/>
        </w:rPr>
        <w:t xml:space="preserve">new </w:t>
      </w:r>
      <w:r w:rsidR="00B55F88">
        <w:rPr>
          <w:rFonts w:eastAsia="Calibri" w:cs="Times New Roman"/>
        </w:rPr>
        <w:t>agreement</w:t>
      </w:r>
      <w:r w:rsidRPr="00AE1D7A">
        <w:rPr>
          <w:rFonts w:eastAsia="Calibri" w:cs="Times New Roman"/>
        </w:rPr>
        <w:t xml:space="preserve">. </w:t>
      </w:r>
      <w:r w:rsidR="00E71350">
        <w:rPr>
          <w:rFonts w:eastAsia="Calibri" w:cs="Times New Roman"/>
        </w:rPr>
        <w:t xml:space="preserve"> </w:t>
      </w:r>
      <w:r w:rsidRPr="00AE1D7A">
        <w:rPr>
          <w:rFonts w:eastAsia="Calibri" w:cs="Times New Roman"/>
        </w:rPr>
        <w:t xml:space="preserve">Any questions you have about eligibility can most directly be answered by the </w:t>
      </w:r>
      <w:hyperlink r:id="rId16" w:history="1">
        <w:r w:rsidRPr="00AE1D7A">
          <w:rPr>
            <w:rFonts w:eastAsia="Calibri" w:cs="Times New Roman"/>
            <w:color w:val="0563C1" w:themeColor="hyperlink"/>
            <w:u w:val="single"/>
          </w:rPr>
          <w:t>RMLC</w:t>
        </w:r>
      </w:hyperlink>
      <w:r w:rsidRPr="00AE1D7A">
        <w:rPr>
          <w:rFonts w:eastAsia="Calibri" w:cs="Times New Roman"/>
        </w:rPr>
        <w:t xml:space="preserve">. </w:t>
      </w:r>
      <w:r w:rsidR="00E71350">
        <w:rPr>
          <w:rFonts w:eastAsia="Calibri" w:cs="Times New Roman"/>
        </w:rPr>
        <w:t xml:space="preserve"> </w:t>
      </w:r>
      <w:r w:rsidRPr="00AE1D7A">
        <w:rPr>
          <w:rFonts w:eastAsia="Calibri" w:cs="Times New Roman"/>
        </w:rPr>
        <w:t>Second, if you</w:t>
      </w:r>
      <w:r w:rsidR="00A406F6">
        <w:rPr>
          <w:rFonts w:eastAsia="Calibri" w:cs="Times New Roman"/>
        </w:rPr>
        <w:t>r station is</w:t>
      </w:r>
      <w:r w:rsidRPr="00AE1D7A">
        <w:rPr>
          <w:rFonts w:eastAsia="Calibri" w:cs="Times New Roman"/>
        </w:rPr>
        <w:t xml:space="preserve"> eligible, complete</w:t>
      </w:r>
      <w:r w:rsidR="008F498F">
        <w:rPr>
          <w:rFonts w:eastAsia="Calibri" w:cs="Times New Roman"/>
        </w:rPr>
        <w:t xml:space="preserve"> and submit</w:t>
      </w:r>
      <w:r w:rsidR="00E71350">
        <w:rPr>
          <w:rFonts w:eastAsia="Calibri" w:cs="Times New Roman"/>
        </w:rPr>
        <w:t xml:space="preserve"> the </w:t>
      </w:r>
      <w:r w:rsidR="006D7455">
        <w:rPr>
          <w:rFonts w:eastAsia="Calibri" w:cs="Times New Roman"/>
        </w:rPr>
        <w:t>agreement</w:t>
      </w:r>
      <w:r w:rsidR="00E71350">
        <w:rPr>
          <w:rFonts w:eastAsia="Calibri" w:cs="Times New Roman"/>
        </w:rPr>
        <w:t xml:space="preserve"> forms, applicable exhibits, and </w:t>
      </w:r>
      <w:r w:rsidR="00E71350" w:rsidRPr="00A321EA">
        <w:rPr>
          <w:rFonts w:eastAsia="Calibri" w:cs="Times New Roman"/>
        </w:rPr>
        <w:t>2019 annual report</w:t>
      </w:r>
      <w:r w:rsidRPr="00A321EA">
        <w:rPr>
          <w:rFonts w:eastAsia="Calibri" w:cs="Times New Roman"/>
        </w:rPr>
        <w:t xml:space="preserve"> </w:t>
      </w:r>
      <w:r w:rsidR="00E71350" w:rsidRPr="00A321EA">
        <w:rPr>
          <w:rFonts w:eastAsia="Calibri" w:cs="Times New Roman"/>
        </w:rPr>
        <w:t>online via</w:t>
      </w:r>
      <w:r w:rsidR="008F498F" w:rsidRPr="00A321EA">
        <w:rPr>
          <w:rFonts w:eastAsia="Calibri" w:cs="Times New Roman"/>
        </w:rPr>
        <w:t xml:space="preserve"> the </w:t>
      </w:r>
      <w:hyperlink r:id="rId17" w:history="1">
        <w:r w:rsidR="008F498F" w:rsidRPr="00A321EA">
          <w:rPr>
            <w:rStyle w:val="Hyperlink"/>
            <w:rFonts w:eastAsia="Calibri" w:cs="Times New Roman"/>
          </w:rPr>
          <w:t>reporting portal</w:t>
        </w:r>
      </w:hyperlink>
      <w:r w:rsidR="008F498F" w:rsidRPr="00A321EA">
        <w:rPr>
          <w:rFonts w:eastAsia="Calibri" w:cs="Times New Roman"/>
        </w:rPr>
        <w:t xml:space="preserve"> on</w:t>
      </w:r>
      <w:r w:rsidR="00E71350" w:rsidRPr="00A321EA">
        <w:rPr>
          <w:rFonts w:eastAsia="Calibri" w:cs="Times New Roman"/>
        </w:rPr>
        <w:t xml:space="preserve"> </w:t>
      </w:r>
      <w:hyperlink r:id="rId18" w:anchor="!/rmlc" w:history="1">
        <w:r w:rsidR="00E71350" w:rsidRPr="00A321EA">
          <w:rPr>
            <w:rStyle w:val="Hyperlink"/>
            <w:rFonts w:eastAsia="Calibri" w:cs="Times New Roman"/>
          </w:rPr>
          <w:t>SESAC’s website</w:t>
        </w:r>
      </w:hyperlink>
      <w:r w:rsidR="00E71350" w:rsidRPr="00A321EA">
        <w:rPr>
          <w:rFonts w:eastAsia="Calibri" w:cs="Times New Roman"/>
        </w:rPr>
        <w:t xml:space="preserve"> </w:t>
      </w:r>
      <w:r w:rsidRPr="00A321EA">
        <w:rPr>
          <w:rFonts w:eastAsia="Calibri" w:cs="Times New Roman"/>
        </w:rPr>
        <w:t xml:space="preserve">no later than </w:t>
      </w:r>
      <w:r w:rsidR="00A321EA" w:rsidRPr="00A321EA">
        <w:rPr>
          <w:rFonts w:eastAsia="Calibri" w:cs="Times New Roman"/>
          <w:b/>
          <w:u w:val="single"/>
        </w:rPr>
        <w:t>September 23</w:t>
      </w:r>
      <w:r w:rsidRPr="00A321EA">
        <w:rPr>
          <w:rFonts w:eastAsia="Calibri" w:cs="Times New Roman"/>
          <w:b/>
          <w:u w:val="single"/>
        </w:rPr>
        <w:t>, 20</w:t>
      </w:r>
      <w:r w:rsidR="00A321EA" w:rsidRPr="00A321EA">
        <w:rPr>
          <w:rFonts w:eastAsia="Calibri" w:cs="Times New Roman"/>
          <w:b/>
          <w:u w:val="single"/>
        </w:rPr>
        <w:t>20</w:t>
      </w:r>
      <w:r w:rsidRPr="00AE1D7A">
        <w:rPr>
          <w:rFonts w:eastAsia="Calibri" w:cs="Times New Roman"/>
        </w:rPr>
        <w:t xml:space="preserve">. </w:t>
      </w:r>
      <w:r w:rsidR="008F498F">
        <w:rPr>
          <w:rFonts w:eastAsia="Calibri" w:cs="Times New Roman"/>
        </w:rPr>
        <w:t xml:space="preserve"> Please note that </w:t>
      </w:r>
      <w:r w:rsidR="00624308">
        <w:rPr>
          <w:rFonts w:eastAsia="Calibri" w:cs="Times New Roman"/>
        </w:rPr>
        <w:t>o</w:t>
      </w:r>
      <w:r w:rsidRPr="00AE1D7A">
        <w:rPr>
          <w:rFonts w:eastAsia="Calibri" w:cs="Times New Roman"/>
        </w:rPr>
        <w:t>wners of m</w:t>
      </w:r>
      <w:r w:rsidR="008F498F">
        <w:rPr>
          <w:rFonts w:eastAsia="Calibri" w:cs="Times New Roman"/>
        </w:rPr>
        <w:t>ultiple stations wishing to opt-</w:t>
      </w:r>
      <w:r w:rsidRPr="00AE1D7A">
        <w:rPr>
          <w:rFonts w:eastAsia="Calibri" w:cs="Times New Roman"/>
        </w:rPr>
        <w:t xml:space="preserve">in should complete </w:t>
      </w:r>
      <w:r w:rsidR="008F498F">
        <w:rPr>
          <w:rFonts w:eastAsia="Calibri" w:cs="Times New Roman"/>
        </w:rPr>
        <w:t xml:space="preserve">the </w:t>
      </w:r>
      <w:r w:rsidRPr="00AE1D7A">
        <w:rPr>
          <w:rFonts w:eastAsia="Calibri" w:cs="Times New Roman"/>
        </w:rPr>
        <w:t>Group Amendment and Annex 1</w:t>
      </w:r>
      <w:r w:rsidR="008F498F">
        <w:rPr>
          <w:rFonts w:eastAsia="Calibri" w:cs="Times New Roman"/>
        </w:rPr>
        <w:t>, and that stations using an “All-Talk” format as of January 1, 2019, that changed to an All-Talk format during 2019, or that were purchased with an All-Talk format in place during 2019, must complete an “All-Talk Amendment</w:t>
      </w:r>
      <w:r w:rsidRPr="00AE1D7A">
        <w:rPr>
          <w:rFonts w:eastAsia="Calibri" w:cs="Times New Roman"/>
        </w:rPr>
        <w:t>.</w:t>
      </w:r>
      <w:r w:rsidR="008F498F">
        <w:rPr>
          <w:rFonts w:eastAsia="Calibri" w:cs="Times New Roman"/>
        </w:rPr>
        <w:t>”</w:t>
      </w:r>
    </w:p>
    <w:p w14:paraId="3C55922F" w14:textId="77777777" w:rsidR="00417456" w:rsidRPr="00417456" w:rsidRDefault="00417456" w:rsidP="000940D2">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75034D92" w14:textId="77777777" w:rsidR="007E3A00" w:rsidRPr="002B6E2A" w:rsidRDefault="007E3A00" w:rsidP="000940D2">
      <w:pPr>
        <w:tabs>
          <w:tab w:val="left" w:pos="720"/>
        </w:tabs>
        <w:spacing w:after="0"/>
        <w:ind w:firstLine="720"/>
        <w:jc w:val="right"/>
        <w:rPr>
          <w:rFonts w:eastAsia="Times New Roman" w:cs="Times New Roman"/>
          <w:i/>
          <w:color w:val="000000"/>
          <w:szCs w:val="24"/>
        </w:rPr>
      </w:pPr>
      <w:bookmarkStart w:id="48" w:name="_Chairman_Pai_Thanks"/>
      <w:bookmarkEnd w:id="48"/>
      <w:r>
        <w:rPr>
          <w:rFonts w:eastAsia="Times New Roman" w:cs="Times New Roman"/>
          <w:i/>
          <w:color w:val="000000"/>
          <w:szCs w:val="24"/>
        </w:rPr>
        <w:t>Tim Nelson</w:t>
      </w:r>
      <w:r w:rsidRPr="002B6E2A">
        <w:rPr>
          <w:rFonts w:eastAsia="Times New Roman" w:cs="Times New Roman"/>
          <w:i/>
          <w:color w:val="000000"/>
          <w:szCs w:val="24"/>
        </w:rPr>
        <w:t>, Editor</w:t>
      </w:r>
    </w:p>
    <w:p w14:paraId="63BE2F1E" w14:textId="77777777" w:rsidR="007E3A00" w:rsidRPr="002B6E2A" w:rsidRDefault="007E3A00" w:rsidP="000940D2">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McLENDON, </w:t>
      </w:r>
    </w:p>
    <w:p w14:paraId="12227D33" w14:textId="77777777" w:rsidR="007E3A00" w:rsidRDefault="007E3A00" w:rsidP="000940D2">
      <w:pPr>
        <w:tabs>
          <w:tab w:val="left" w:pos="720"/>
        </w:tabs>
        <w:spacing w:after="0"/>
        <w:rPr>
          <w:rFonts w:eastAsia="Times New Roman" w:cs="Times New Roman"/>
          <w:szCs w:val="24"/>
        </w:rPr>
      </w:pPr>
      <w:r w:rsidRPr="002B6E2A">
        <w:rPr>
          <w:rFonts w:eastAsia="Times New Roman" w:cs="Times New Roman"/>
          <w:szCs w:val="24"/>
        </w:rPr>
        <w:t xml:space="preserve"> HUMPHREY &amp; LEONARD, L.L.P.</w:t>
      </w:r>
      <w:r w:rsidRPr="002B6E2A">
        <w:rPr>
          <w:rFonts w:eastAsia="Times New Roman" w:cs="Times New Roman"/>
          <w:szCs w:val="24"/>
        </w:rPr>
        <w:fldChar w:fldCharType="end"/>
      </w:r>
      <w:r w:rsidRPr="002B6E2A">
        <w:rPr>
          <w:rFonts w:eastAsia="Times New Roman" w:cs="Times New Roman"/>
          <w:szCs w:val="24"/>
        </w:rPr>
        <w:t xml:space="preserve"> </w:t>
      </w:r>
    </w:p>
    <w:p w14:paraId="5029C533" w14:textId="77777777" w:rsidR="007E3A00" w:rsidRPr="002B6E2A" w:rsidRDefault="007E3A00" w:rsidP="000940D2">
      <w:pPr>
        <w:tabs>
          <w:tab w:val="left" w:pos="720"/>
        </w:tabs>
        <w:spacing w:after="0"/>
        <w:rPr>
          <w:rFonts w:eastAsia="Calibri" w:cs="Times New Roman"/>
          <w:szCs w:val="24"/>
        </w:rPr>
      </w:pPr>
      <w:r>
        <w:rPr>
          <w:rFonts w:eastAsia="Times New Roman" w:cs="Times New Roman"/>
          <w:szCs w:val="24"/>
        </w:rPr>
        <w:br/>
      </w:r>
      <w:hyperlink r:id="rId1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20" w:history="1">
        <w:r w:rsidRPr="002B6E2A">
          <w:rPr>
            <w:rFonts w:eastAsia="Calibri" w:cs="Times New Roman"/>
            <w:szCs w:val="24"/>
          </w:rPr>
          <w:t>Marcus W. Trathen</w:t>
        </w:r>
      </w:hyperlink>
      <w:r>
        <w:rPr>
          <w:rFonts w:eastAsia="Calibri" w:cs="Times New Roman"/>
          <w:szCs w:val="24"/>
        </w:rPr>
        <w:br/>
      </w:r>
      <w:hyperlink r:id="rId21" w:history="1">
        <w:r w:rsidRPr="002B6E2A">
          <w:rPr>
            <w:rFonts w:eastAsia="Calibri" w:cs="Times New Roman"/>
            <w:szCs w:val="24"/>
          </w:rPr>
          <w:t>David Kushner</w:t>
        </w:r>
      </w:hyperlink>
      <w:r>
        <w:rPr>
          <w:rFonts w:eastAsia="Calibri" w:cs="Times New Roman"/>
          <w:szCs w:val="24"/>
        </w:rPr>
        <w:br/>
      </w:r>
      <w:hyperlink r:id="rId22" w:history="1">
        <w:r w:rsidRPr="002B6E2A">
          <w:rPr>
            <w:rFonts w:eastAsia="Calibri" w:cs="Times New Roman"/>
            <w:szCs w:val="24"/>
          </w:rPr>
          <w:t>Coe W. Ramsey</w:t>
        </w:r>
      </w:hyperlink>
      <w:r>
        <w:rPr>
          <w:rFonts w:eastAsia="Calibri" w:cs="Times New Roman"/>
          <w:szCs w:val="24"/>
        </w:rPr>
        <w:br/>
      </w:r>
      <w:hyperlink r:id="rId23" w:history="1">
        <w:r w:rsidRPr="002B6E2A">
          <w:rPr>
            <w:rFonts w:eastAsia="Calibri" w:cs="Times New Roman"/>
            <w:szCs w:val="24"/>
          </w:rPr>
          <w:t>Stephen Hartzell</w:t>
        </w:r>
      </w:hyperlink>
    </w:p>
    <w:p w14:paraId="6D7F0DCA" w14:textId="77777777" w:rsidR="007E3A00" w:rsidRPr="002B6E2A" w:rsidRDefault="00BF5F02"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4" w:history="1">
        <w:r w:rsidR="007E3A00" w:rsidRPr="002B6E2A">
          <w:rPr>
            <w:rFonts w:eastAsia="Calibri" w:cs="Times New Roman"/>
            <w:szCs w:val="24"/>
          </w:rPr>
          <w:t>Julia C. Ambrose</w:t>
        </w:r>
      </w:hyperlink>
    </w:p>
    <w:p w14:paraId="3E40FD89" w14:textId="77777777" w:rsidR="007E3A00" w:rsidRPr="002B6E2A" w:rsidRDefault="00BF5F02"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5" w:history="1">
        <w:r w:rsidR="007E3A00" w:rsidRPr="002B6E2A">
          <w:rPr>
            <w:rFonts w:eastAsia="Calibri" w:cs="Times New Roman"/>
            <w:szCs w:val="24"/>
          </w:rPr>
          <w:t>Elizabeth E. Spainhour</w:t>
        </w:r>
      </w:hyperlink>
    </w:p>
    <w:p w14:paraId="5E4B540C" w14:textId="77777777" w:rsidR="007E3A00" w:rsidRPr="002B6E2A" w:rsidRDefault="00BF5F02"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6" w:history="1">
        <w:r w:rsidR="007E3A00" w:rsidRPr="002B6E2A">
          <w:rPr>
            <w:rFonts w:eastAsia="Calibri" w:cs="Times New Roman"/>
            <w:szCs w:val="24"/>
          </w:rPr>
          <w:t>J. Benjamin Davis</w:t>
        </w:r>
      </w:hyperlink>
    </w:p>
    <w:p w14:paraId="0AE4440D" w14:textId="77777777" w:rsidR="007E3A00" w:rsidRDefault="00BF5F02" w:rsidP="000940D2">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27" w:history="1">
        <w:r w:rsidR="007E3A00" w:rsidRPr="002B6E2A">
          <w:rPr>
            <w:rFonts w:eastAsia="Calibri" w:cs="Times New Roman"/>
            <w:szCs w:val="24"/>
          </w:rPr>
          <w:t>Timothy G. Nelson</w:t>
        </w:r>
      </w:hyperlink>
    </w:p>
    <w:p w14:paraId="72136B94" w14:textId="77777777" w:rsidR="007E3A00" w:rsidRPr="00FF2698" w:rsidRDefault="00BF5F02" w:rsidP="000940D2">
      <w:pPr>
        <w:widowControl w:val="0"/>
        <w:tabs>
          <w:tab w:val="left" w:pos="738"/>
        </w:tabs>
        <w:spacing w:after="0"/>
        <w:contextualSpacing/>
        <w:rPr>
          <w:rFonts w:eastAsia="Calibri" w:cs="Times New Roman"/>
          <w:szCs w:val="24"/>
        </w:rPr>
      </w:pPr>
      <w:hyperlink r:id="rId28" w:history="1">
        <w:r w:rsidR="007E3A00" w:rsidRPr="009105B1">
          <w:rPr>
            <w:rFonts w:eastAsia="Calibri" w:cs="Times New Roman"/>
            <w:szCs w:val="24"/>
          </w:rPr>
          <w:t>Patrick Cross</w:t>
        </w:r>
      </w:hyperlink>
      <w:r w:rsidR="007E3A00" w:rsidRPr="009105B1">
        <w:rPr>
          <w:rFonts w:eastAsia="Calibri" w:cs="Times New Roman"/>
          <w:szCs w:val="24"/>
        </w:rPr>
        <w:t xml:space="preserve"> </w:t>
      </w:r>
    </w:p>
    <w:p w14:paraId="6E130A31" w14:textId="77777777" w:rsidR="007E3A00" w:rsidRPr="007002E0" w:rsidRDefault="007E3A00" w:rsidP="007E3A00">
      <w:pPr>
        <w:jc w:val="center"/>
        <w:rPr>
          <w:rFonts w:eastAsia="Calibri" w:cs="Times New Roman"/>
          <w:sz w:val="20"/>
          <w:szCs w:val="20"/>
        </w:rPr>
      </w:pPr>
      <w:r w:rsidRPr="009105B1">
        <w:rPr>
          <w:b/>
          <w:color w:val="2E74B5" w:themeColor="accent1" w:themeShade="BF"/>
          <w:szCs w:val="24"/>
        </w:rPr>
        <w:t>___________________________________</w:t>
      </w:r>
    </w:p>
    <w:p w14:paraId="6B7AFCB3" w14:textId="77777777" w:rsidR="007E3A00" w:rsidRPr="009105B1" w:rsidRDefault="007E3A00" w:rsidP="007E3A00">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683D4574" w14:textId="77777777" w:rsidR="007E3A00" w:rsidRPr="009105B1" w:rsidRDefault="007E3A00" w:rsidP="007E3A00">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119E58AC" w14:textId="77777777" w:rsidR="007E3A00" w:rsidRPr="009105B1" w:rsidRDefault="007E3A00" w:rsidP="007E3A00">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0B0F11D6" w14:textId="7088470C" w:rsidR="00535205" w:rsidRDefault="007E3A00" w:rsidP="007D1905">
      <w:pPr>
        <w:tabs>
          <w:tab w:val="left" w:pos="-1422"/>
          <w:tab w:val="left" w:pos="-702"/>
          <w:tab w:val="left" w:pos="18"/>
          <w:tab w:val="left" w:pos="738"/>
          <w:tab w:val="left" w:pos="3945"/>
        </w:tabs>
        <w:spacing w:after="0"/>
        <w:ind w:right="18"/>
        <w:jc w:val="center"/>
        <w:rPr>
          <w:rFonts w:eastAsia="Calibri" w:cs="Times New Roman"/>
          <w:sz w:val="20"/>
          <w:szCs w:val="20"/>
        </w:rPr>
      </w:pPr>
      <w:r>
        <w:rPr>
          <w:rFonts w:eastAsia="Calibri" w:cs="Times New Roman"/>
          <w:sz w:val="20"/>
          <w:szCs w:val="20"/>
        </w:rPr>
        <w:t>© 2020</w:t>
      </w:r>
      <w:r w:rsidRPr="009105B1">
        <w:rPr>
          <w:rFonts w:eastAsia="Calibri" w:cs="Times New Roman"/>
          <w:sz w:val="20"/>
          <w:szCs w:val="20"/>
        </w:rPr>
        <w:t xml:space="preserve"> Brooks, Pierce, McLendon, Humphrey &amp; Leonard, L.L.P.</w:t>
      </w:r>
    </w:p>
    <w:p w14:paraId="7C45E4D9" w14:textId="77777777" w:rsidR="00D62696" w:rsidRDefault="00327EA0">
      <w:pPr>
        <w:spacing w:after="160" w:line="259" w:lineRule="auto"/>
        <w:rPr>
          <w:rFonts w:eastAsia="Calibri" w:cs="Times New Roman"/>
          <w:sz w:val="20"/>
          <w:szCs w:val="20"/>
        </w:rPr>
        <w:sectPr w:rsidR="00D62696" w:rsidSect="007D1905">
          <w:headerReference w:type="even" r:id="rId29"/>
          <w:headerReference w:type="default" r:id="rId30"/>
          <w:footerReference w:type="even" r:id="rId31"/>
          <w:footerReference w:type="default" r:id="rId32"/>
          <w:headerReference w:type="first" r:id="rId33"/>
          <w:footerReference w:type="first" r:id="rId34"/>
          <w:pgSz w:w="12240" w:h="15840" w:code="1"/>
          <w:pgMar w:top="1440" w:right="1440" w:bottom="864" w:left="1440" w:header="720" w:footer="576" w:gutter="0"/>
          <w:cols w:space="720"/>
          <w:titlePg/>
          <w:docGrid w:linePitch="360"/>
        </w:sectPr>
      </w:pPr>
      <w:r>
        <w:rPr>
          <w:rFonts w:eastAsia="Calibri" w:cs="Times New Roman"/>
          <w:sz w:val="20"/>
          <w:szCs w:val="20"/>
        </w:rPr>
        <w:br w:type="page"/>
      </w:r>
    </w:p>
    <w:p w14:paraId="32F4B42D" w14:textId="77777777" w:rsidR="00327EA0" w:rsidRPr="00327EA0" w:rsidRDefault="00327EA0" w:rsidP="00327EA0">
      <w:pPr>
        <w:keepNext/>
        <w:keepLines/>
        <w:spacing w:before="40" w:after="0"/>
        <w:jc w:val="center"/>
        <w:outlineLvl w:val="1"/>
        <w:rPr>
          <w:rFonts w:asciiTheme="majorHAnsi" w:eastAsiaTheme="majorEastAsia" w:hAnsiTheme="majorHAnsi" w:cstheme="majorBidi"/>
          <w:b/>
          <w:color w:val="2E74B5" w:themeColor="accent1" w:themeShade="BF"/>
          <w:sz w:val="28"/>
          <w:szCs w:val="26"/>
          <w:u w:val="single"/>
        </w:rPr>
      </w:pPr>
      <w:bookmarkStart w:id="49" w:name="SchedA"/>
      <w:r w:rsidRPr="00327EA0">
        <w:rPr>
          <w:rFonts w:asciiTheme="majorHAnsi" w:eastAsiaTheme="majorEastAsia" w:hAnsiTheme="majorHAnsi" w:cstheme="majorBidi"/>
          <w:b/>
          <w:color w:val="2E74B5" w:themeColor="accent1" w:themeShade="BF"/>
          <w:sz w:val="28"/>
          <w:szCs w:val="26"/>
          <w:u w:val="single"/>
        </w:rPr>
        <w:lastRenderedPageBreak/>
        <w:t>Schedule A</w:t>
      </w:r>
    </w:p>
    <w:tbl>
      <w:tblPr>
        <w:tblStyle w:val="TableGrid1"/>
        <w:tblpPr w:leftFromText="180" w:rightFromText="180" w:vertAnchor="text" w:horzAnchor="margin" w:tblpY="600"/>
        <w:tblW w:w="0" w:type="auto"/>
        <w:tblLook w:val="04A0" w:firstRow="1" w:lastRow="0" w:firstColumn="1" w:lastColumn="0" w:noHBand="0" w:noVBand="1"/>
      </w:tblPr>
      <w:tblGrid>
        <w:gridCol w:w="1795"/>
        <w:gridCol w:w="990"/>
        <w:gridCol w:w="1221"/>
        <w:gridCol w:w="1336"/>
        <w:gridCol w:w="1336"/>
        <w:gridCol w:w="1336"/>
        <w:gridCol w:w="1336"/>
      </w:tblGrid>
      <w:tr w:rsidR="00327EA0" w:rsidRPr="00327EA0" w14:paraId="6B737A75" w14:textId="77777777" w:rsidTr="00327EA0">
        <w:tc>
          <w:tcPr>
            <w:tcW w:w="9350" w:type="dxa"/>
            <w:gridSpan w:val="7"/>
            <w:shd w:val="clear" w:color="auto" w:fill="DEEAF6" w:themeFill="accent1" w:themeFillTint="33"/>
          </w:tcPr>
          <w:bookmarkEnd w:id="49"/>
          <w:p w14:paraId="6E05B166" w14:textId="115BC6C4" w:rsidR="00327EA0" w:rsidRPr="00327EA0" w:rsidRDefault="00327EA0" w:rsidP="00327EA0">
            <w:pPr>
              <w:spacing w:before="60" w:after="60"/>
              <w:jc w:val="center"/>
              <w:rPr>
                <w:b/>
                <w:sz w:val="20"/>
                <w:szCs w:val="20"/>
              </w:rPr>
            </w:pPr>
            <w:r w:rsidRPr="00327EA0">
              <w:rPr>
                <w:b/>
                <w:sz w:val="20"/>
                <w:szCs w:val="20"/>
              </w:rPr>
              <w:t>FY 20</w:t>
            </w:r>
            <w:r>
              <w:rPr>
                <w:b/>
                <w:sz w:val="20"/>
                <w:szCs w:val="20"/>
              </w:rPr>
              <w:t>20</w:t>
            </w:r>
            <w:r w:rsidRPr="00327EA0">
              <w:rPr>
                <w:b/>
                <w:sz w:val="20"/>
                <w:szCs w:val="20"/>
              </w:rPr>
              <w:t xml:space="preserve"> RADIO STATION REGULATORY FEES</w:t>
            </w:r>
          </w:p>
        </w:tc>
      </w:tr>
      <w:tr w:rsidR="00327EA0" w:rsidRPr="00327EA0" w14:paraId="6FE9AD17" w14:textId="77777777" w:rsidTr="00327EA0">
        <w:tc>
          <w:tcPr>
            <w:tcW w:w="1795" w:type="dxa"/>
            <w:vAlign w:val="center"/>
          </w:tcPr>
          <w:p w14:paraId="482DC3A1" w14:textId="77777777" w:rsidR="00327EA0" w:rsidRPr="00327EA0" w:rsidRDefault="00327EA0" w:rsidP="00327EA0">
            <w:pPr>
              <w:spacing w:before="60" w:after="60"/>
              <w:jc w:val="center"/>
              <w:rPr>
                <w:sz w:val="20"/>
                <w:szCs w:val="20"/>
              </w:rPr>
            </w:pPr>
            <w:r w:rsidRPr="00327EA0">
              <w:rPr>
                <w:sz w:val="20"/>
                <w:szCs w:val="20"/>
              </w:rPr>
              <w:t>Population Served</w:t>
            </w:r>
          </w:p>
        </w:tc>
        <w:tc>
          <w:tcPr>
            <w:tcW w:w="990" w:type="dxa"/>
            <w:vAlign w:val="center"/>
          </w:tcPr>
          <w:p w14:paraId="1EB6CB56" w14:textId="77777777" w:rsidR="00327EA0" w:rsidRPr="00327EA0" w:rsidRDefault="00327EA0" w:rsidP="00327EA0">
            <w:pPr>
              <w:spacing w:before="60" w:after="60"/>
              <w:jc w:val="center"/>
              <w:rPr>
                <w:sz w:val="20"/>
                <w:szCs w:val="20"/>
              </w:rPr>
            </w:pPr>
            <w:r w:rsidRPr="00327EA0">
              <w:rPr>
                <w:sz w:val="20"/>
                <w:szCs w:val="20"/>
              </w:rPr>
              <w:t xml:space="preserve">AM </w:t>
            </w:r>
            <w:r w:rsidRPr="00327EA0">
              <w:rPr>
                <w:sz w:val="20"/>
                <w:szCs w:val="20"/>
              </w:rPr>
              <w:br/>
              <w:t>Class A</w:t>
            </w:r>
          </w:p>
        </w:tc>
        <w:tc>
          <w:tcPr>
            <w:tcW w:w="1221" w:type="dxa"/>
            <w:vAlign w:val="center"/>
          </w:tcPr>
          <w:p w14:paraId="65A35F88"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B</w:t>
            </w:r>
          </w:p>
        </w:tc>
        <w:tc>
          <w:tcPr>
            <w:tcW w:w="1336" w:type="dxa"/>
            <w:vAlign w:val="center"/>
          </w:tcPr>
          <w:p w14:paraId="4794D493"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C</w:t>
            </w:r>
          </w:p>
        </w:tc>
        <w:tc>
          <w:tcPr>
            <w:tcW w:w="1336" w:type="dxa"/>
            <w:vAlign w:val="center"/>
          </w:tcPr>
          <w:p w14:paraId="33ABE205"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D</w:t>
            </w:r>
          </w:p>
        </w:tc>
        <w:tc>
          <w:tcPr>
            <w:tcW w:w="1336" w:type="dxa"/>
            <w:vAlign w:val="center"/>
          </w:tcPr>
          <w:p w14:paraId="640AB2C1" w14:textId="77777777" w:rsidR="00327EA0" w:rsidRPr="00327EA0" w:rsidRDefault="00327EA0" w:rsidP="00327EA0">
            <w:pPr>
              <w:spacing w:before="60" w:after="60"/>
              <w:jc w:val="center"/>
              <w:rPr>
                <w:sz w:val="20"/>
                <w:szCs w:val="20"/>
              </w:rPr>
            </w:pPr>
            <w:r w:rsidRPr="00327EA0">
              <w:rPr>
                <w:sz w:val="20"/>
                <w:szCs w:val="20"/>
              </w:rPr>
              <w:t>FM Classes</w:t>
            </w:r>
            <w:r w:rsidRPr="00327EA0">
              <w:rPr>
                <w:sz w:val="20"/>
                <w:szCs w:val="20"/>
              </w:rPr>
              <w:br/>
              <w:t>A, B1 &amp; C3</w:t>
            </w:r>
          </w:p>
        </w:tc>
        <w:tc>
          <w:tcPr>
            <w:tcW w:w="1336" w:type="dxa"/>
            <w:vAlign w:val="center"/>
          </w:tcPr>
          <w:p w14:paraId="09788742" w14:textId="77777777" w:rsidR="00327EA0" w:rsidRPr="00327EA0" w:rsidRDefault="00327EA0" w:rsidP="00327EA0">
            <w:pPr>
              <w:spacing w:before="60" w:after="60"/>
              <w:jc w:val="center"/>
              <w:rPr>
                <w:sz w:val="20"/>
                <w:szCs w:val="20"/>
              </w:rPr>
            </w:pPr>
            <w:r w:rsidRPr="00327EA0">
              <w:rPr>
                <w:sz w:val="20"/>
                <w:szCs w:val="20"/>
              </w:rPr>
              <w:t>FM Classes B, C, C0, C1 &amp; C2</w:t>
            </w:r>
          </w:p>
        </w:tc>
      </w:tr>
      <w:tr w:rsidR="00327EA0" w:rsidRPr="00327EA0" w14:paraId="434DA092" w14:textId="77777777" w:rsidTr="00327EA0">
        <w:trPr>
          <w:trHeight w:val="350"/>
        </w:trPr>
        <w:tc>
          <w:tcPr>
            <w:tcW w:w="1795" w:type="dxa"/>
            <w:vAlign w:val="center"/>
          </w:tcPr>
          <w:p w14:paraId="72A23B72" w14:textId="77777777" w:rsidR="00327EA0" w:rsidRPr="00327EA0" w:rsidRDefault="00327EA0" w:rsidP="00327EA0">
            <w:pPr>
              <w:spacing w:before="60" w:after="60"/>
              <w:rPr>
                <w:sz w:val="20"/>
                <w:szCs w:val="20"/>
              </w:rPr>
            </w:pPr>
            <w:r w:rsidRPr="00327EA0">
              <w:rPr>
                <w:sz w:val="20"/>
                <w:szCs w:val="20"/>
              </w:rPr>
              <w:t>&lt;=25,000</w:t>
            </w:r>
          </w:p>
        </w:tc>
        <w:tc>
          <w:tcPr>
            <w:tcW w:w="990" w:type="dxa"/>
            <w:vAlign w:val="center"/>
          </w:tcPr>
          <w:p w14:paraId="54CF7A6D" w14:textId="6FF1AAFC" w:rsidR="00327EA0" w:rsidRPr="00327EA0" w:rsidRDefault="00327EA0" w:rsidP="00327EA0">
            <w:pPr>
              <w:spacing w:before="60" w:after="60"/>
              <w:jc w:val="right"/>
              <w:rPr>
                <w:sz w:val="20"/>
                <w:szCs w:val="20"/>
              </w:rPr>
            </w:pPr>
            <w:r w:rsidRPr="00327EA0">
              <w:rPr>
                <w:sz w:val="20"/>
                <w:szCs w:val="20"/>
              </w:rPr>
              <w:t>$</w:t>
            </w:r>
            <w:r>
              <w:rPr>
                <w:sz w:val="20"/>
                <w:szCs w:val="20"/>
              </w:rPr>
              <w:t>975</w:t>
            </w:r>
          </w:p>
        </w:tc>
        <w:tc>
          <w:tcPr>
            <w:tcW w:w="1221" w:type="dxa"/>
            <w:vAlign w:val="center"/>
          </w:tcPr>
          <w:p w14:paraId="369884BC" w14:textId="40DF8ADB" w:rsidR="00327EA0" w:rsidRPr="00327EA0" w:rsidRDefault="00327EA0" w:rsidP="00327EA0">
            <w:pPr>
              <w:spacing w:before="60" w:after="60"/>
              <w:jc w:val="right"/>
              <w:rPr>
                <w:sz w:val="20"/>
                <w:szCs w:val="20"/>
              </w:rPr>
            </w:pPr>
            <w:r w:rsidRPr="00327EA0">
              <w:rPr>
                <w:sz w:val="20"/>
                <w:szCs w:val="20"/>
              </w:rPr>
              <w:t>$</w:t>
            </w:r>
            <w:r>
              <w:rPr>
                <w:sz w:val="20"/>
                <w:szCs w:val="20"/>
              </w:rPr>
              <w:t>700</w:t>
            </w:r>
          </w:p>
        </w:tc>
        <w:tc>
          <w:tcPr>
            <w:tcW w:w="1336" w:type="dxa"/>
            <w:vAlign w:val="center"/>
          </w:tcPr>
          <w:p w14:paraId="1428F1AC" w14:textId="1E9DC847" w:rsidR="00327EA0" w:rsidRPr="00327EA0" w:rsidRDefault="00327EA0" w:rsidP="00327EA0">
            <w:pPr>
              <w:spacing w:before="60" w:after="60"/>
              <w:jc w:val="right"/>
              <w:rPr>
                <w:sz w:val="20"/>
                <w:szCs w:val="20"/>
              </w:rPr>
            </w:pPr>
            <w:r w:rsidRPr="00327EA0">
              <w:rPr>
                <w:sz w:val="20"/>
                <w:szCs w:val="20"/>
              </w:rPr>
              <w:t>$</w:t>
            </w:r>
            <w:r>
              <w:rPr>
                <w:sz w:val="20"/>
                <w:szCs w:val="20"/>
              </w:rPr>
              <w:t>610</w:t>
            </w:r>
          </w:p>
        </w:tc>
        <w:tc>
          <w:tcPr>
            <w:tcW w:w="1336" w:type="dxa"/>
            <w:vAlign w:val="center"/>
          </w:tcPr>
          <w:p w14:paraId="01CC1101" w14:textId="5B12B600" w:rsidR="00327EA0" w:rsidRPr="00327EA0" w:rsidRDefault="00327EA0" w:rsidP="00327EA0">
            <w:pPr>
              <w:spacing w:before="60" w:after="60"/>
              <w:jc w:val="right"/>
              <w:rPr>
                <w:sz w:val="20"/>
                <w:szCs w:val="20"/>
              </w:rPr>
            </w:pPr>
            <w:r w:rsidRPr="00327EA0">
              <w:rPr>
                <w:sz w:val="20"/>
                <w:szCs w:val="20"/>
              </w:rPr>
              <w:t>$</w:t>
            </w:r>
            <w:r>
              <w:rPr>
                <w:sz w:val="20"/>
                <w:szCs w:val="20"/>
              </w:rPr>
              <w:t>670</w:t>
            </w:r>
          </w:p>
        </w:tc>
        <w:tc>
          <w:tcPr>
            <w:tcW w:w="1336" w:type="dxa"/>
            <w:vAlign w:val="center"/>
          </w:tcPr>
          <w:p w14:paraId="0CB50BB6" w14:textId="2FC6FA93" w:rsidR="00327EA0" w:rsidRPr="00327EA0" w:rsidRDefault="00327EA0" w:rsidP="00327EA0">
            <w:pPr>
              <w:spacing w:before="60" w:after="60"/>
              <w:jc w:val="right"/>
              <w:rPr>
                <w:sz w:val="20"/>
                <w:szCs w:val="20"/>
              </w:rPr>
            </w:pPr>
            <w:r w:rsidRPr="00327EA0">
              <w:rPr>
                <w:sz w:val="20"/>
                <w:szCs w:val="20"/>
              </w:rPr>
              <w:t>$</w:t>
            </w:r>
            <w:r>
              <w:rPr>
                <w:sz w:val="20"/>
                <w:szCs w:val="20"/>
              </w:rPr>
              <w:t>1.075</w:t>
            </w:r>
          </w:p>
        </w:tc>
        <w:tc>
          <w:tcPr>
            <w:tcW w:w="1336" w:type="dxa"/>
            <w:vAlign w:val="center"/>
          </w:tcPr>
          <w:p w14:paraId="188F0F60" w14:textId="3A5A9947" w:rsidR="00327EA0" w:rsidRPr="00327EA0" w:rsidRDefault="00327EA0" w:rsidP="00327EA0">
            <w:pPr>
              <w:spacing w:before="60" w:after="60"/>
              <w:jc w:val="right"/>
              <w:rPr>
                <w:sz w:val="20"/>
                <w:szCs w:val="20"/>
              </w:rPr>
            </w:pPr>
            <w:r w:rsidRPr="00327EA0">
              <w:rPr>
                <w:sz w:val="20"/>
                <w:szCs w:val="20"/>
              </w:rPr>
              <w:t>$1,</w:t>
            </w:r>
            <w:r>
              <w:rPr>
                <w:sz w:val="20"/>
                <w:szCs w:val="20"/>
              </w:rPr>
              <w:t>225</w:t>
            </w:r>
          </w:p>
        </w:tc>
      </w:tr>
      <w:tr w:rsidR="00327EA0" w:rsidRPr="00327EA0" w14:paraId="6860D40F" w14:textId="77777777" w:rsidTr="00327EA0">
        <w:tc>
          <w:tcPr>
            <w:tcW w:w="1795" w:type="dxa"/>
            <w:vAlign w:val="center"/>
          </w:tcPr>
          <w:p w14:paraId="1415CF4E" w14:textId="77777777" w:rsidR="00327EA0" w:rsidRPr="00327EA0" w:rsidRDefault="00327EA0" w:rsidP="00327EA0">
            <w:pPr>
              <w:spacing w:before="60" w:after="60"/>
              <w:rPr>
                <w:sz w:val="20"/>
                <w:szCs w:val="20"/>
              </w:rPr>
            </w:pPr>
            <w:r w:rsidRPr="00327EA0">
              <w:rPr>
                <w:sz w:val="20"/>
                <w:szCs w:val="20"/>
              </w:rPr>
              <w:t>25,001 – 75,000</w:t>
            </w:r>
          </w:p>
        </w:tc>
        <w:tc>
          <w:tcPr>
            <w:tcW w:w="990" w:type="dxa"/>
            <w:vAlign w:val="center"/>
          </w:tcPr>
          <w:p w14:paraId="23BE9F6E" w14:textId="2DF23177" w:rsidR="00327EA0" w:rsidRPr="00327EA0" w:rsidRDefault="00327EA0" w:rsidP="00327EA0">
            <w:pPr>
              <w:spacing w:before="60" w:after="60"/>
              <w:jc w:val="right"/>
              <w:rPr>
                <w:sz w:val="20"/>
                <w:szCs w:val="20"/>
              </w:rPr>
            </w:pPr>
            <w:r w:rsidRPr="00327EA0">
              <w:rPr>
                <w:sz w:val="20"/>
                <w:szCs w:val="20"/>
              </w:rPr>
              <w:t>$</w:t>
            </w:r>
            <w:r>
              <w:rPr>
                <w:sz w:val="20"/>
                <w:szCs w:val="20"/>
              </w:rPr>
              <w:t>1,47</w:t>
            </w:r>
            <w:r w:rsidRPr="00327EA0">
              <w:rPr>
                <w:sz w:val="20"/>
                <w:szCs w:val="20"/>
              </w:rPr>
              <w:t>5</w:t>
            </w:r>
          </w:p>
        </w:tc>
        <w:tc>
          <w:tcPr>
            <w:tcW w:w="1221" w:type="dxa"/>
            <w:vAlign w:val="center"/>
          </w:tcPr>
          <w:p w14:paraId="62F70C5C" w14:textId="3D548427" w:rsidR="00327EA0" w:rsidRPr="00327EA0" w:rsidRDefault="00327EA0" w:rsidP="00327EA0">
            <w:pPr>
              <w:spacing w:before="60" w:after="60"/>
              <w:jc w:val="right"/>
              <w:rPr>
                <w:sz w:val="20"/>
                <w:szCs w:val="20"/>
              </w:rPr>
            </w:pPr>
            <w:r w:rsidRPr="00327EA0">
              <w:rPr>
                <w:sz w:val="20"/>
                <w:szCs w:val="20"/>
              </w:rPr>
              <w:t>$</w:t>
            </w:r>
            <w:r>
              <w:rPr>
                <w:sz w:val="20"/>
                <w:szCs w:val="20"/>
              </w:rPr>
              <w:t>1,050</w:t>
            </w:r>
          </w:p>
        </w:tc>
        <w:tc>
          <w:tcPr>
            <w:tcW w:w="1336" w:type="dxa"/>
            <w:vAlign w:val="center"/>
          </w:tcPr>
          <w:p w14:paraId="3AA2179D" w14:textId="76CFBD29" w:rsidR="00327EA0" w:rsidRPr="00327EA0" w:rsidRDefault="00327EA0" w:rsidP="00327EA0">
            <w:pPr>
              <w:spacing w:before="60" w:after="60"/>
              <w:jc w:val="right"/>
              <w:rPr>
                <w:sz w:val="20"/>
                <w:szCs w:val="20"/>
              </w:rPr>
            </w:pPr>
            <w:r w:rsidRPr="00327EA0">
              <w:rPr>
                <w:sz w:val="20"/>
                <w:szCs w:val="20"/>
              </w:rPr>
              <w:t>$</w:t>
            </w:r>
            <w:r>
              <w:rPr>
                <w:sz w:val="20"/>
                <w:szCs w:val="20"/>
              </w:rPr>
              <w:t>915</w:t>
            </w:r>
          </w:p>
        </w:tc>
        <w:tc>
          <w:tcPr>
            <w:tcW w:w="1336" w:type="dxa"/>
            <w:vAlign w:val="center"/>
          </w:tcPr>
          <w:p w14:paraId="7770B4FA" w14:textId="77A4EBBC" w:rsidR="00327EA0" w:rsidRPr="00327EA0" w:rsidRDefault="00327EA0" w:rsidP="00327EA0">
            <w:pPr>
              <w:spacing w:before="60" w:after="60"/>
              <w:jc w:val="right"/>
              <w:rPr>
                <w:sz w:val="20"/>
                <w:szCs w:val="20"/>
              </w:rPr>
            </w:pPr>
            <w:r w:rsidRPr="00327EA0">
              <w:rPr>
                <w:sz w:val="20"/>
                <w:szCs w:val="20"/>
              </w:rPr>
              <w:t>$</w:t>
            </w:r>
            <w:r>
              <w:rPr>
                <w:sz w:val="20"/>
                <w:szCs w:val="20"/>
              </w:rPr>
              <w:t>1,000</w:t>
            </w:r>
          </w:p>
        </w:tc>
        <w:tc>
          <w:tcPr>
            <w:tcW w:w="1336" w:type="dxa"/>
            <w:vAlign w:val="center"/>
          </w:tcPr>
          <w:p w14:paraId="39DBDDF2" w14:textId="65431593" w:rsidR="00327EA0" w:rsidRPr="00327EA0" w:rsidRDefault="00327EA0" w:rsidP="00327EA0">
            <w:pPr>
              <w:spacing w:before="60" w:after="60"/>
              <w:jc w:val="right"/>
              <w:rPr>
                <w:sz w:val="20"/>
                <w:szCs w:val="20"/>
              </w:rPr>
            </w:pPr>
            <w:r w:rsidRPr="00327EA0">
              <w:rPr>
                <w:sz w:val="20"/>
                <w:szCs w:val="20"/>
              </w:rPr>
              <w:t>$1,</w:t>
            </w:r>
            <w:r>
              <w:rPr>
                <w:sz w:val="20"/>
                <w:szCs w:val="20"/>
              </w:rPr>
              <w:t>625</w:t>
            </w:r>
          </w:p>
        </w:tc>
        <w:tc>
          <w:tcPr>
            <w:tcW w:w="1336" w:type="dxa"/>
            <w:vAlign w:val="center"/>
          </w:tcPr>
          <w:p w14:paraId="42DE61F5" w14:textId="0804F82A" w:rsidR="00327EA0" w:rsidRPr="00327EA0" w:rsidRDefault="00327EA0" w:rsidP="00327EA0">
            <w:pPr>
              <w:spacing w:before="60" w:after="60"/>
              <w:jc w:val="right"/>
              <w:rPr>
                <w:sz w:val="20"/>
                <w:szCs w:val="20"/>
              </w:rPr>
            </w:pPr>
            <w:r w:rsidRPr="00327EA0">
              <w:rPr>
                <w:sz w:val="20"/>
                <w:szCs w:val="20"/>
              </w:rPr>
              <w:t>$1,</w:t>
            </w:r>
            <w:r>
              <w:rPr>
                <w:sz w:val="20"/>
                <w:szCs w:val="20"/>
              </w:rPr>
              <w:t>8</w:t>
            </w:r>
            <w:r w:rsidRPr="00327EA0">
              <w:rPr>
                <w:sz w:val="20"/>
                <w:szCs w:val="20"/>
              </w:rPr>
              <w:t>50</w:t>
            </w:r>
          </w:p>
        </w:tc>
      </w:tr>
      <w:tr w:rsidR="00327EA0" w:rsidRPr="00327EA0" w14:paraId="5ED0FA90" w14:textId="77777777" w:rsidTr="00327EA0">
        <w:tc>
          <w:tcPr>
            <w:tcW w:w="1795" w:type="dxa"/>
            <w:vAlign w:val="center"/>
          </w:tcPr>
          <w:p w14:paraId="65B43E68" w14:textId="77777777" w:rsidR="00327EA0" w:rsidRPr="00327EA0" w:rsidRDefault="00327EA0" w:rsidP="00327EA0">
            <w:pPr>
              <w:spacing w:before="60" w:after="60"/>
              <w:rPr>
                <w:sz w:val="20"/>
                <w:szCs w:val="20"/>
              </w:rPr>
            </w:pPr>
            <w:r w:rsidRPr="00327EA0">
              <w:rPr>
                <w:sz w:val="20"/>
                <w:szCs w:val="20"/>
              </w:rPr>
              <w:t>75,001 – 150,000</w:t>
            </w:r>
          </w:p>
        </w:tc>
        <w:tc>
          <w:tcPr>
            <w:tcW w:w="990" w:type="dxa"/>
            <w:vAlign w:val="center"/>
          </w:tcPr>
          <w:p w14:paraId="4ECAF864" w14:textId="34DC05CA" w:rsidR="00327EA0" w:rsidRPr="00327EA0" w:rsidRDefault="00327EA0" w:rsidP="00327EA0">
            <w:pPr>
              <w:spacing w:before="60" w:after="60"/>
              <w:jc w:val="right"/>
              <w:rPr>
                <w:sz w:val="20"/>
                <w:szCs w:val="20"/>
              </w:rPr>
            </w:pPr>
            <w:r w:rsidRPr="00327EA0">
              <w:rPr>
                <w:sz w:val="20"/>
                <w:szCs w:val="20"/>
              </w:rPr>
              <w:t>$</w:t>
            </w:r>
            <w:r>
              <w:rPr>
                <w:sz w:val="20"/>
                <w:szCs w:val="20"/>
              </w:rPr>
              <w:t>2,200</w:t>
            </w:r>
          </w:p>
        </w:tc>
        <w:tc>
          <w:tcPr>
            <w:tcW w:w="1221" w:type="dxa"/>
            <w:vAlign w:val="center"/>
          </w:tcPr>
          <w:p w14:paraId="5BA801A6" w14:textId="7C08FECE" w:rsidR="00327EA0" w:rsidRPr="00327EA0" w:rsidRDefault="00327EA0" w:rsidP="00327EA0">
            <w:pPr>
              <w:spacing w:before="60" w:after="60"/>
              <w:jc w:val="right"/>
              <w:rPr>
                <w:sz w:val="20"/>
                <w:szCs w:val="20"/>
              </w:rPr>
            </w:pPr>
            <w:r w:rsidRPr="00327EA0">
              <w:rPr>
                <w:sz w:val="20"/>
                <w:szCs w:val="20"/>
              </w:rPr>
              <w:t>$1,</w:t>
            </w:r>
            <w:r>
              <w:rPr>
                <w:sz w:val="20"/>
                <w:szCs w:val="20"/>
              </w:rPr>
              <w:t>575</w:t>
            </w:r>
          </w:p>
        </w:tc>
        <w:tc>
          <w:tcPr>
            <w:tcW w:w="1336" w:type="dxa"/>
            <w:vAlign w:val="center"/>
          </w:tcPr>
          <w:p w14:paraId="575417AB" w14:textId="5EE662FD" w:rsidR="00327EA0" w:rsidRPr="00327EA0" w:rsidRDefault="00327EA0" w:rsidP="00327EA0">
            <w:pPr>
              <w:spacing w:before="60" w:after="60"/>
              <w:jc w:val="right"/>
              <w:rPr>
                <w:sz w:val="20"/>
                <w:szCs w:val="20"/>
              </w:rPr>
            </w:pPr>
            <w:r w:rsidRPr="00327EA0">
              <w:rPr>
                <w:sz w:val="20"/>
                <w:szCs w:val="20"/>
              </w:rPr>
              <w:t>$</w:t>
            </w:r>
            <w:r>
              <w:rPr>
                <w:sz w:val="20"/>
                <w:szCs w:val="20"/>
              </w:rPr>
              <w:t>1,375</w:t>
            </w:r>
          </w:p>
        </w:tc>
        <w:tc>
          <w:tcPr>
            <w:tcW w:w="1336" w:type="dxa"/>
            <w:vAlign w:val="center"/>
          </w:tcPr>
          <w:p w14:paraId="501CD735" w14:textId="31B024A4" w:rsidR="00327EA0" w:rsidRPr="00327EA0" w:rsidRDefault="00327EA0" w:rsidP="00327EA0">
            <w:pPr>
              <w:spacing w:before="60" w:after="60"/>
              <w:jc w:val="right"/>
              <w:rPr>
                <w:sz w:val="20"/>
                <w:szCs w:val="20"/>
              </w:rPr>
            </w:pPr>
            <w:r w:rsidRPr="00327EA0">
              <w:rPr>
                <w:sz w:val="20"/>
                <w:szCs w:val="20"/>
              </w:rPr>
              <w:t>$</w:t>
            </w:r>
            <w:r>
              <w:rPr>
                <w:sz w:val="20"/>
                <w:szCs w:val="20"/>
              </w:rPr>
              <w:t>1,500</w:t>
            </w:r>
          </w:p>
        </w:tc>
        <w:tc>
          <w:tcPr>
            <w:tcW w:w="1336" w:type="dxa"/>
            <w:vAlign w:val="center"/>
          </w:tcPr>
          <w:p w14:paraId="7D78EF28" w14:textId="4BEC57BB" w:rsidR="00327EA0" w:rsidRPr="00327EA0" w:rsidRDefault="00327EA0" w:rsidP="00327EA0">
            <w:pPr>
              <w:spacing w:before="60" w:after="60"/>
              <w:jc w:val="right"/>
              <w:rPr>
                <w:sz w:val="20"/>
                <w:szCs w:val="20"/>
              </w:rPr>
            </w:pPr>
            <w:r w:rsidRPr="00327EA0">
              <w:rPr>
                <w:sz w:val="20"/>
                <w:szCs w:val="20"/>
              </w:rPr>
              <w:t>$2,</w:t>
            </w:r>
            <w:r>
              <w:rPr>
                <w:sz w:val="20"/>
                <w:szCs w:val="20"/>
              </w:rPr>
              <w:t>425</w:t>
            </w:r>
          </w:p>
        </w:tc>
        <w:tc>
          <w:tcPr>
            <w:tcW w:w="1336" w:type="dxa"/>
            <w:vAlign w:val="center"/>
          </w:tcPr>
          <w:p w14:paraId="237BC8BF" w14:textId="7158DC2B" w:rsidR="00327EA0" w:rsidRPr="00327EA0" w:rsidRDefault="00327EA0" w:rsidP="00327EA0">
            <w:pPr>
              <w:spacing w:before="60" w:after="60"/>
              <w:jc w:val="right"/>
              <w:rPr>
                <w:sz w:val="20"/>
                <w:szCs w:val="20"/>
              </w:rPr>
            </w:pPr>
            <w:r w:rsidRPr="00327EA0">
              <w:rPr>
                <w:sz w:val="20"/>
                <w:szCs w:val="20"/>
              </w:rPr>
              <w:t>$2,</w:t>
            </w:r>
            <w:r>
              <w:rPr>
                <w:sz w:val="20"/>
                <w:szCs w:val="20"/>
              </w:rPr>
              <w:t>750</w:t>
            </w:r>
          </w:p>
        </w:tc>
      </w:tr>
      <w:tr w:rsidR="00327EA0" w:rsidRPr="00327EA0" w14:paraId="7B846A38" w14:textId="77777777" w:rsidTr="00327EA0">
        <w:tc>
          <w:tcPr>
            <w:tcW w:w="1795" w:type="dxa"/>
            <w:vAlign w:val="center"/>
          </w:tcPr>
          <w:p w14:paraId="1229427A" w14:textId="77777777" w:rsidR="00327EA0" w:rsidRPr="00327EA0" w:rsidRDefault="00327EA0" w:rsidP="00327EA0">
            <w:pPr>
              <w:spacing w:before="60" w:after="60"/>
              <w:rPr>
                <w:sz w:val="20"/>
                <w:szCs w:val="20"/>
              </w:rPr>
            </w:pPr>
            <w:r w:rsidRPr="00327EA0">
              <w:rPr>
                <w:sz w:val="20"/>
                <w:szCs w:val="20"/>
              </w:rPr>
              <w:t>150,001 – 500,000</w:t>
            </w:r>
          </w:p>
        </w:tc>
        <w:tc>
          <w:tcPr>
            <w:tcW w:w="990" w:type="dxa"/>
            <w:vAlign w:val="center"/>
          </w:tcPr>
          <w:p w14:paraId="53E805D4" w14:textId="0E0E265F" w:rsidR="00327EA0" w:rsidRPr="00327EA0" w:rsidRDefault="00327EA0" w:rsidP="00327EA0">
            <w:pPr>
              <w:spacing w:before="60" w:after="60"/>
              <w:jc w:val="right"/>
              <w:rPr>
                <w:sz w:val="20"/>
                <w:szCs w:val="20"/>
              </w:rPr>
            </w:pPr>
            <w:r w:rsidRPr="00327EA0">
              <w:rPr>
                <w:sz w:val="20"/>
                <w:szCs w:val="20"/>
              </w:rPr>
              <w:t>$</w:t>
            </w:r>
            <w:r>
              <w:rPr>
                <w:sz w:val="20"/>
                <w:szCs w:val="20"/>
              </w:rPr>
              <w:t>3,300</w:t>
            </w:r>
          </w:p>
        </w:tc>
        <w:tc>
          <w:tcPr>
            <w:tcW w:w="1221" w:type="dxa"/>
            <w:vAlign w:val="center"/>
          </w:tcPr>
          <w:p w14:paraId="0734891C" w14:textId="3043ACE8" w:rsidR="00327EA0" w:rsidRPr="00327EA0" w:rsidRDefault="00327EA0" w:rsidP="00327EA0">
            <w:pPr>
              <w:spacing w:before="60" w:after="60"/>
              <w:jc w:val="right"/>
              <w:rPr>
                <w:sz w:val="20"/>
                <w:szCs w:val="20"/>
              </w:rPr>
            </w:pPr>
            <w:r w:rsidRPr="00327EA0">
              <w:rPr>
                <w:sz w:val="20"/>
                <w:szCs w:val="20"/>
              </w:rPr>
              <w:t>$2,</w:t>
            </w:r>
            <w:r>
              <w:rPr>
                <w:sz w:val="20"/>
                <w:szCs w:val="20"/>
              </w:rPr>
              <w:t>375</w:t>
            </w:r>
          </w:p>
        </w:tc>
        <w:tc>
          <w:tcPr>
            <w:tcW w:w="1336" w:type="dxa"/>
            <w:vAlign w:val="center"/>
          </w:tcPr>
          <w:p w14:paraId="057CAAA7" w14:textId="7C98A54B" w:rsidR="00327EA0" w:rsidRPr="00327EA0" w:rsidRDefault="00327EA0" w:rsidP="00327EA0">
            <w:pPr>
              <w:spacing w:before="60" w:after="60"/>
              <w:jc w:val="right"/>
              <w:rPr>
                <w:sz w:val="20"/>
                <w:szCs w:val="20"/>
              </w:rPr>
            </w:pPr>
            <w:r w:rsidRPr="00327EA0">
              <w:rPr>
                <w:sz w:val="20"/>
                <w:szCs w:val="20"/>
              </w:rPr>
              <w:t>$</w:t>
            </w:r>
            <w:r>
              <w:rPr>
                <w:sz w:val="20"/>
                <w:szCs w:val="20"/>
              </w:rPr>
              <w:t>2,050</w:t>
            </w:r>
          </w:p>
        </w:tc>
        <w:tc>
          <w:tcPr>
            <w:tcW w:w="1336" w:type="dxa"/>
            <w:vAlign w:val="center"/>
          </w:tcPr>
          <w:p w14:paraId="1AAB73FB" w14:textId="51EB314B" w:rsidR="00327EA0" w:rsidRPr="00327EA0" w:rsidRDefault="00327EA0" w:rsidP="00327EA0">
            <w:pPr>
              <w:spacing w:before="60" w:after="60"/>
              <w:jc w:val="right"/>
              <w:rPr>
                <w:sz w:val="20"/>
                <w:szCs w:val="20"/>
              </w:rPr>
            </w:pPr>
            <w:r w:rsidRPr="00327EA0">
              <w:rPr>
                <w:sz w:val="20"/>
                <w:szCs w:val="20"/>
              </w:rPr>
              <w:t>$</w:t>
            </w:r>
            <w:r>
              <w:rPr>
                <w:sz w:val="20"/>
                <w:szCs w:val="20"/>
              </w:rPr>
              <w:t>2,275</w:t>
            </w:r>
          </w:p>
        </w:tc>
        <w:tc>
          <w:tcPr>
            <w:tcW w:w="1336" w:type="dxa"/>
            <w:vAlign w:val="center"/>
          </w:tcPr>
          <w:p w14:paraId="3E8D1736" w14:textId="743CCDCF" w:rsidR="00327EA0" w:rsidRPr="00327EA0" w:rsidRDefault="00327EA0" w:rsidP="00327EA0">
            <w:pPr>
              <w:spacing w:before="60" w:after="60"/>
              <w:jc w:val="right"/>
              <w:rPr>
                <w:sz w:val="20"/>
                <w:szCs w:val="20"/>
              </w:rPr>
            </w:pPr>
            <w:r w:rsidRPr="00327EA0">
              <w:rPr>
                <w:sz w:val="20"/>
                <w:szCs w:val="20"/>
              </w:rPr>
              <w:t>$3,</w:t>
            </w:r>
            <w:r>
              <w:rPr>
                <w:sz w:val="20"/>
                <w:szCs w:val="20"/>
              </w:rPr>
              <w:t>625</w:t>
            </w:r>
          </w:p>
        </w:tc>
        <w:tc>
          <w:tcPr>
            <w:tcW w:w="1336" w:type="dxa"/>
            <w:vAlign w:val="center"/>
          </w:tcPr>
          <w:p w14:paraId="45C040D8" w14:textId="125691E1" w:rsidR="00327EA0" w:rsidRPr="00327EA0" w:rsidRDefault="00327EA0" w:rsidP="00327EA0">
            <w:pPr>
              <w:spacing w:before="60" w:after="60"/>
              <w:jc w:val="right"/>
              <w:rPr>
                <w:sz w:val="20"/>
                <w:szCs w:val="20"/>
              </w:rPr>
            </w:pPr>
            <w:r w:rsidRPr="00327EA0">
              <w:rPr>
                <w:sz w:val="20"/>
                <w:szCs w:val="20"/>
              </w:rPr>
              <w:t>$</w:t>
            </w:r>
            <w:r>
              <w:rPr>
                <w:sz w:val="20"/>
                <w:szCs w:val="20"/>
              </w:rPr>
              <w:t>4,150</w:t>
            </w:r>
          </w:p>
        </w:tc>
      </w:tr>
      <w:tr w:rsidR="00327EA0" w:rsidRPr="00327EA0" w14:paraId="65868329" w14:textId="77777777" w:rsidTr="00327EA0">
        <w:tc>
          <w:tcPr>
            <w:tcW w:w="1795" w:type="dxa"/>
            <w:vAlign w:val="center"/>
          </w:tcPr>
          <w:p w14:paraId="21EBD8B0" w14:textId="77777777" w:rsidR="00327EA0" w:rsidRPr="00327EA0" w:rsidRDefault="00327EA0" w:rsidP="00327EA0">
            <w:pPr>
              <w:spacing w:before="60" w:after="60"/>
              <w:rPr>
                <w:sz w:val="20"/>
                <w:szCs w:val="20"/>
              </w:rPr>
            </w:pPr>
            <w:r w:rsidRPr="00327EA0">
              <w:rPr>
                <w:sz w:val="20"/>
                <w:szCs w:val="20"/>
              </w:rPr>
              <w:t>500,001 – 1,200,000</w:t>
            </w:r>
          </w:p>
        </w:tc>
        <w:tc>
          <w:tcPr>
            <w:tcW w:w="990" w:type="dxa"/>
            <w:vAlign w:val="center"/>
          </w:tcPr>
          <w:p w14:paraId="6FE4929B" w14:textId="7CF2B5A4" w:rsidR="00327EA0" w:rsidRPr="00327EA0" w:rsidRDefault="00327EA0" w:rsidP="00327EA0">
            <w:pPr>
              <w:spacing w:before="60" w:after="60"/>
              <w:jc w:val="right"/>
              <w:rPr>
                <w:sz w:val="20"/>
                <w:szCs w:val="20"/>
              </w:rPr>
            </w:pPr>
            <w:r w:rsidRPr="00327EA0">
              <w:rPr>
                <w:sz w:val="20"/>
                <w:szCs w:val="20"/>
              </w:rPr>
              <w:t>$</w:t>
            </w:r>
            <w:r>
              <w:rPr>
                <w:sz w:val="20"/>
                <w:szCs w:val="20"/>
              </w:rPr>
              <w:t>4,925</w:t>
            </w:r>
          </w:p>
        </w:tc>
        <w:tc>
          <w:tcPr>
            <w:tcW w:w="1221" w:type="dxa"/>
            <w:vAlign w:val="center"/>
          </w:tcPr>
          <w:p w14:paraId="2ED926C4" w14:textId="2206367D" w:rsidR="00327EA0" w:rsidRPr="00327EA0" w:rsidRDefault="00327EA0" w:rsidP="00327EA0">
            <w:pPr>
              <w:spacing w:before="60" w:after="60"/>
              <w:jc w:val="right"/>
              <w:rPr>
                <w:sz w:val="20"/>
                <w:szCs w:val="20"/>
              </w:rPr>
            </w:pPr>
            <w:r w:rsidRPr="00327EA0">
              <w:rPr>
                <w:sz w:val="20"/>
                <w:szCs w:val="20"/>
              </w:rPr>
              <w:t>$3,</w:t>
            </w:r>
            <w:r>
              <w:rPr>
                <w:sz w:val="20"/>
                <w:szCs w:val="20"/>
              </w:rPr>
              <w:t>550</w:t>
            </w:r>
          </w:p>
        </w:tc>
        <w:tc>
          <w:tcPr>
            <w:tcW w:w="1336" w:type="dxa"/>
            <w:vAlign w:val="center"/>
          </w:tcPr>
          <w:p w14:paraId="5BB0FAC1" w14:textId="5E1E9ACA" w:rsidR="00327EA0" w:rsidRPr="00327EA0" w:rsidRDefault="00327EA0" w:rsidP="00327EA0">
            <w:pPr>
              <w:spacing w:before="60" w:after="60"/>
              <w:jc w:val="right"/>
              <w:rPr>
                <w:sz w:val="20"/>
                <w:szCs w:val="20"/>
              </w:rPr>
            </w:pPr>
            <w:r w:rsidRPr="00327EA0">
              <w:rPr>
                <w:sz w:val="20"/>
                <w:szCs w:val="20"/>
              </w:rPr>
              <w:t>$</w:t>
            </w:r>
            <w:r>
              <w:rPr>
                <w:sz w:val="20"/>
                <w:szCs w:val="20"/>
              </w:rPr>
              <w:t>3,075</w:t>
            </w:r>
          </w:p>
        </w:tc>
        <w:tc>
          <w:tcPr>
            <w:tcW w:w="1336" w:type="dxa"/>
            <w:vAlign w:val="center"/>
          </w:tcPr>
          <w:p w14:paraId="2F9097E1" w14:textId="5DAECEB3" w:rsidR="00327EA0" w:rsidRPr="00327EA0" w:rsidRDefault="00327EA0" w:rsidP="00327EA0">
            <w:pPr>
              <w:spacing w:before="60" w:after="60"/>
              <w:jc w:val="right"/>
              <w:rPr>
                <w:sz w:val="20"/>
                <w:szCs w:val="20"/>
              </w:rPr>
            </w:pPr>
            <w:r w:rsidRPr="00327EA0">
              <w:rPr>
                <w:sz w:val="20"/>
                <w:szCs w:val="20"/>
              </w:rPr>
              <w:t>$</w:t>
            </w:r>
            <w:r>
              <w:rPr>
                <w:sz w:val="20"/>
                <w:szCs w:val="20"/>
              </w:rPr>
              <w:t>3,400</w:t>
            </w:r>
          </w:p>
        </w:tc>
        <w:tc>
          <w:tcPr>
            <w:tcW w:w="1336" w:type="dxa"/>
            <w:vAlign w:val="center"/>
          </w:tcPr>
          <w:p w14:paraId="591F5D71" w14:textId="42342E9D" w:rsidR="00327EA0" w:rsidRPr="00327EA0" w:rsidRDefault="00327EA0" w:rsidP="00327EA0">
            <w:pPr>
              <w:spacing w:before="60" w:after="60"/>
              <w:jc w:val="right"/>
              <w:rPr>
                <w:sz w:val="20"/>
                <w:szCs w:val="20"/>
              </w:rPr>
            </w:pPr>
            <w:r w:rsidRPr="00327EA0">
              <w:rPr>
                <w:sz w:val="20"/>
                <w:szCs w:val="20"/>
              </w:rPr>
              <w:t>$</w:t>
            </w:r>
            <w:r>
              <w:rPr>
                <w:sz w:val="20"/>
                <w:szCs w:val="20"/>
              </w:rPr>
              <w:t>5,450</w:t>
            </w:r>
          </w:p>
        </w:tc>
        <w:tc>
          <w:tcPr>
            <w:tcW w:w="1336" w:type="dxa"/>
            <w:vAlign w:val="center"/>
          </w:tcPr>
          <w:p w14:paraId="23509590" w14:textId="5917505F" w:rsidR="00327EA0" w:rsidRPr="00327EA0" w:rsidRDefault="00327EA0" w:rsidP="00327EA0">
            <w:pPr>
              <w:spacing w:before="60" w:after="60"/>
              <w:jc w:val="right"/>
              <w:rPr>
                <w:sz w:val="20"/>
                <w:szCs w:val="20"/>
              </w:rPr>
            </w:pPr>
            <w:r w:rsidRPr="00327EA0">
              <w:rPr>
                <w:sz w:val="20"/>
                <w:szCs w:val="20"/>
              </w:rPr>
              <w:t>$</w:t>
            </w:r>
            <w:r>
              <w:rPr>
                <w:sz w:val="20"/>
                <w:szCs w:val="20"/>
              </w:rPr>
              <w:t>6,200</w:t>
            </w:r>
          </w:p>
        </w:tc>
      </w:tr>
      <w:tr w:rsidR="00327EA0" w:rsidRPr="00327EA0" w14:paraId="5C595747" w14:textId="77777777" w:rsidTr="00327EA0">
        <w:tc>
          <w:tcPr>
            <w:tcW w:w="1795" w:type="dxa"/>
            <w:vAlign w:val="center"/>
          </w:tcPr>
          <w:p w14:paraId="7462B187" w14:textId="77777777" w:rsidR="00327EA0" w:rsidRPr="00327EA0" w:rsidRDefault="00327EA0" w:rsidP="00327EA0">
            <w:pPr>
              <w:spacing w:before="60" w:after="60"/>
              <w:rPr>
                <w:sz w:val="20"/>
                <w:szCs w:val="20"/>
              </w:rPr>
            </w:pPr>
            <w:r w:rsidRPr="00327EA0">
              <w:rPr>
                <w:sz w:val="20"/>
                <w:szCs w:val="20"/>
              </w:rPr>
              <w:t>1,200,001 – 3,000,000</w:t>
            </w:r>
          </w:p>
        </w:tc>
        <w:tc>
          <w:tcPr>
            <w:tcW w:w="990" w:type="dxa"/>
            <w:vAlign w:val="center"/>
          </w:tcPr>
          <w:p w14:paraId="09418EFE" w14:textId="3360EBA5" w:rsidR="00327EA0" w:rsidRPr="00327EA0" w:rsidRDefault="00327EA0" w:rsidP="00327EA0">
            <w:pPr>
              <w:spacing w:before="60" w:after="60"/>
              <w:jc w:val="right"/>
              <w:rPr>
                <w:sz w:val="20"/>
                <w:szCs w:val="20"/>
              </w:rPr>
            </w:pPr>
            <w:r w:rsidRPr="00327EA0">
              <w:rPr>
                <w:sz w:val="20"/>
                <w:szCs w:val="20"/>
              </w:rPr>
              <w:t>$</w:t>
            </w:r>
            <w:r>
              <w:rPr>
                <w:sz w:val="20"/>
                <w:szCs w:val="20"/>
              </w:rPr>
              <w:t>7,400</w:t>
            </w:r>
          </w:p>
        </w:tc>
        <w:tc>
          <w:tcPr>
            <w:tcW w:w="1221" w:type="dxa"/>
            <w:vAlign w:val="center"/>
          </w:tcPr>
          <w:p w14:paraId="33175EFF" w14:textId="61141DBC" w:rsidR="00327EA0" w:rsidRPr="00327EA0" w:rsidRDefault="00327EA0" w:rsidP="00327EA0">
            <w:pPr>
              <w:spacing w:before="60" w:after="60"/>
              <w:jc w:val="right"/>
              <w:rPr>
                <w:sz w:val="20"/>
                <w:szCs w:val="20"/>
              </w:rPr>
            </w:pPr>
            <w:r w:rsidRPr="00327EA0">
              <w:rPr>
                <w:sz w:val="20"/>
                <w:szCs w:val="20"/>
              </w:rPr>
              <w:t>$</w:t>
            </w:r>
            <w:r>
              <w:rPr>
                <w:sz w:val="20"/>
                <w:szCs w:val="20"/>
              </w:rPr>
              <w:t>5,325</w:t>
            </w:r>
          </w:p>
        </w:tc>
        <w:tc>
          <w:tcPr>
            <w:tcW w:w="1336" w:type="dxa"/>
            <w:vAlign w:val="center"/>
          </w:tcPr>
          <w:p w14:paraId="22A4235F" w14:textId="195DA272" w:rsidR="00327EA0" w:rsidRPr="00327EA0" w:rsidRDefault="00327EA0" w:rsidP="00327EA0">
            <w:pPr>
              <w:spacing w:before="60" w:after="60"/>
              <w:jc w:val="right"/>
              <w:rPr>
                <w:sz w:val="20"/>
                <w:szCs w:val="20"/>
              </w:rPr>
            </w:pPr>
            <w:r w:rsidRPr="00327EA0">
              <w:rPr>
                <w:sz w:val="20"/>
                <w:szCs w:val="20"/>
              </w:rPr>
              <w:t>$4,</w:t>
            </w:r>
            <w:r>
              <w:rPr>
                <w:sz w:val="20"/>
                <w:szCs w:val="20"/>
              </w:rPr>
              <w:t>625</w:t>
            </w:r>
          </w:p>
        </w:tc>
        <w:tc>
          <w:tcPr>
            <w:tcW w:w="1336" w:type="dxa"/>
            <w:vAlign w:val="center"/>
          </w:tcPr>
          <w:p w14:paraId="0DEDB8F9" w14:textId="0755F3B6" w:rsidR="00327EA0" w:rsidRPr="00327EA0" w:rsidRDefault="00327EA0" w:rsidP="00327EA0">
            <w:pPr>
              <w:spacing w:before="60" w:after="60"/>
              <w:jc w:val="right"/>
              <w:rPr>
                <w:sz w:val="20"/>
                <w:szCs w:val="20"/>
              </w:rPr>
            </w:pPr>
            <w:r w:rsidRPr="00327EA0">
              <w:rPr>
                <w:sz w:val="20"/>
                <w:szCs w:val="20"/>
              </w:rPr>
              <w:t>$</w:t>
            </w:r>
            <w:r>
              <w:rPr>
                <w:sz w:val="20"/>
                <w:szCs w:val="20"/>
              </w:rPr>
              <w:t>5,100</w:t>
            </w:r>
          </w:p>
        </w:tc>
        <w:tc>
          <w:tcPr>
            <w:tcW w:w="1336" w:type="dxa"/>
            <w:vAlign w:val="center"/>
          </w:tcPr>
          <w:p w14:paraId="73DDEA8A" w14:textId="01925068" w:rsidR="00327EA0" w:rsidRPr="00327EA0" w:rsidRDefault="00327EA0" w:rsidP="00327EA0">
            <w:pPr>
              <w:spacing w:before="60" w:after="60"/>
              <w:jc w:val="right"/>
              <w:rPr>
                <w:sz w:val="20"/>
                <w:szCs w:val="20"/>
              </w:rPr>
            </w:pPr>
            <w:r w:rsidRPr="00327EA0">
              <w:rPr>
                <w:sz w:val="20"/>
                <w:szCs w:val="20"/>
              </w:rPr>
              <w:t>$</w:t>
            </w:r>
            <w:r>
              <w:rPr>
                <w:sz w:val="20"/>
                <w:szCs w:val="20"/>
              </w:rPr>
              <w:t>8,175</w:t>
            </w:r>
          </w:p>
        </w:tc>
        <w:tc>
          <w:tcPr>
            <w:tcW w:w="1336" w:type="dxa"/>
            <w:vAlign w:val="center"/>
          </w:tcPr>
          <w:p w14:paraId="237BB848" w14:textId="2556374C" w:rsidR="00327EA0" w:rsidRPr="00327EA0" w:rsidRDefault="00327EA0" w:rsidP="00327EA0">
            <w:pPr>
              <w:spacing w:before="60" w:after="60"/>
              <w:jc w:val="right"/>
              <w:rPr>
                <w:sz w:val="20"/>
                <w:szCs w:val="20"/>
              </w:rPr>
            </w:pPr>
            <w:r w:rsidRPr="00327EA0">
              <w:rPr>
                <w:sz w:val="20"/>
                <w:szCs w:val="20"/>
              </w:rPr>
              <w:t>$</w:t>
            </w:r>
            <w:r>
              <w:rPr>
                <w:sz w:val="20"/>
                <w:szCs w:val="20"/>
              </w:rPr>
              <w:t>9</w:t>
            </w:r>
            <w:r w:rsidRPr="00327EA0">
              <w:rPr>
                <w:sz w:val="20"/>
                <w:szCs w:val="20"/>
              </w:rPr>
              <w:t>,3</w:t>
            </w:r>
            <w:r>
              <w:rPr>
                <w:sz w:val="20"/>
                <w:szCs w:val="20"/>
              </w:rPr>
              <w:t>0</w:t>
            </w:r>
            <w:r w:rsidRPr="00327EA0">
              <w:rPr>
                <w:sz w:val="20"/>
                <w:szCs w:val="20"/>
              </w:rPr>
              <w:t>0</w:t>
            </w:r>
          </w:p>
        </w:tc>
      </w:tr>
      <w:tr w:rsidR="00327EA0" w:rsidRPr="00327EA0" w14:paraId="5DC80F02" w14:textId="77777777" w:rsidTr="00327EA0">
        <w:tc>
          <w:tcPr>
            <w:tcW w:w="1795" w:type="dxa"/>
            <w:vAlign w:val="center"/>
          </w:tcPr>
          <w:p w14:paraId="6A7636AD" w14:textId="77777777" w:rsidR="00327EA0" w:rsidRPr="00327EA0" w:rsidRDefault="00327EA0" w:rsidP="00327EA0">
            <w:pPr>
              <w:spacing w:before="60" w:after="60"/>
              <w:rPr>
                <w:sz w:val="20"/>
                <w:szCs w:val="20"/>
              </w:rPr>
            </w:pPr>
            <w:r w:rsidRPr="00327EA0">
              <w:rPr>
                <w:sz w:val="20"/>
                <w:szCs w:val="20"/>
              </w:rPr>
              <w:t>3,000,001 – 6,000,000</w:t>
            </w:r>
          </w:p>
        </w:tc>
        <w:tc>
          <w:tcPr>
            <w:tcW w:w="990" w:type="dxa"/>
            <w:vAlign w:val="center"/>
          </w:tcPr>
          <w:p w14:paraId="541C7CAA" w14:textId="13C83CCE" w:rsidR="00327EA0" w:rsidRPr="00327EA0" w:rsidRDefault="00327EA0" w:rsidP="00327EA0">
            <w:pPr>
              <w:spacing w:before="60" w:after="60"/>
              <w:jc w:val="right"/>
              <w:rPr>
                <w:sz w:val="20"/>
                <w:szCs w:val="20"/>
              </w:rPr>
            </w:pPr>
            <w:r w:rsidRPr="00327EA0">
              <w:rPr>
                <w:sz w:val="20"/>
                <w:szCs w:val="20"/>
              </w:rPr>
              <w:t>$</w:t>
            </w:r>
            <w:r>
              <w:rPr>
                <w:sz w:val="20"/>
                <w:szCs w:val="20"/>
              </w:rPr>
              <w:t>11,100</w:t>
            </w:r>
          </w:p>
        </w:tc>
        <w:tc>
          <w:tcPr>
            <w:tcW w:w="1221" w:type="dxa"/>
            <w:vAlign w:val="center"/>
          </w:tcPr>
          <w:p w14:paraId="63E75C39" w14:textId="38165B5F" w:rsidR="00327EA0" w:rsidRPr="00327EA0" w:rsidRDefault="00327EA0" w:rsidP="00327EA0">
            <w:pPr>
              <w:spacing w:before="60" w:after="60"/>
              <w:jc w:val="right"/>
              <w:rPr>
                <w:sz w:val="20"/>
                <w:szCs w:val="20"/>
              </w:rPr>
            </w:pPr>
            <w:r w:rsidRPr="00327EA0">
              <w:rPr>
                <w:sz w:val="20"/>
                <w:szCs w:val="20"/>
              </w:rPr>
              <w:t>$7,</w:t>
            </w:r>
            <w:r>
              <w:rPr>
                <w:sz w:val="20"/>
                <w:szCs w:val="20"/>
              </w:rPr>
              <w:t>975</w:t>
            </w:r>
          </w:p>
        </w:tc>
        <w:tc>
          <w:tcPr>
            <w:tcW w:w="1336" w:type="dxa"/>
            <w:vAlign w:val="center"/>
          </w:tcPr>
          <w:p w14:paraId="3DC9E813" w14:textId="053C7B20" w:rsidR="00327EA0" w:rsidRPr="00327EA0" w:rsidRDefault="00327EA0" w:rsidP="00327EA0">
            <w:pPr>
              <w:spacing w:before="60" w:after="60"/>
              <w:jc w:val="right"/>
              <w:rPr>
                <w:sz w:val="20"/>
                <w:szCs w:val="20"/>
              </w:rPr>
            </w:pPr>
            <w:r w:rsidRPr="00327EA0">
              <w:rPr>
                <w:sz w:val="20"/>
                <w:szCs w:val="20"/>
              </w:rPr>
              <w:t>$6,</w:t>
            </w:r>
            <w:r>
              <w:rPr>
                <w:sz w:val="20"/>
                <w:szCs w:val="20"/>
              </w:rPr>
              <w:t>950</w:t>
            </w:r>
          </w:p>
        </w:tc>
        <w:tc>
          <w:tcPr>
            <w:tcW w:w="1336" w:type="dxa"/>
            <w:vAlign w:val="center"/>
          </w:tcPr>
          <w:p w14:paraId="05D8F3ED" w14:textId="46485F2A" w:rsidR="00327EA0" w:rsidRPr="00327EA0" w:rsidRDefault="00327EA0" w:rsidP="00327EA0">
            <w:pPr>
              <w:spacing w:before="60" w:after="60"/>
              <w:jc w:val="right"/>
              <w:rPr>
                <w:sz w:val="20"/>
                <w:szCs w:val="20"/>
              </w:rPr>
            </w:pPr>
            <w:r w:rsidRPr="00327EA0">
              <w:rPr>
                <w:sz w:val="20"/>
                <w:szCs w:val="20"/>
              </w:rPr>
              <w:t>$</w:t>
            </w:r>
            <w:r>
              <w:rPr>
                <w:sz w:val="20"/>
                <w:szCs w:val="20"/>
              </w:rPr>
              <w:t>7,625</w:t>
            </w:r>
          </w:p>
        </w:tc>
        <w:tc>
          <w:tcPr>
            <w:tcW w:w="1336" w:type="dxa"/>
            <w:vAlign w:val="center"/>
          </w:tcPr>
          <w:p w14:paraId="6F128876" w14:textId="59C6A182" w:rsidR="00327EA0" w:rsidRPr="00327EA0" w:rsidRDefault="00327EA0" w:rsidP="00327EA0">
            <w:pPr>
              <w:spacing w:before="60" w:after="60"/>
              <w:jc w:val="right"/>
              <w:rPr>
                <w:sz w:val="20"/>
                <w:szCs w:val="20"/>
              </w:rPr>
            </w:pPr>
            <w:r w:rsidRPr="00327EA0">
              <w:rPr>
                <w:sz w:val="20"/>
                <w:szCs w:val="20"/>
              </w:rPr>
              <w:t>$1</w:t>
            </w:r>
            <w:r>
              <w:rPr>
                <w:sz w:val="20"/>
                <w:szCs w:val="20"/>
              </w:rPr>
              <w:t>2,250</w:t>
            </w:r>
          </w:p>
        </w:tc>
        <w:tc>
          <w:tcPr>
            <w:tcW w:w="1336" w:type="dxa"/>
            <w:vAlign w:val="center"/>
          </w:tcPr>
          <w:p w14:paraId="350A0E01" w14:textId="64D23B53" w:rsidR="00327EA0" w:rsidRPr="00327EA0" w:rsidRDefault="00327EA0" w:rsidP="00327EA0">
            <w:pPr>
              <w:spacing w:before="60" w:after="60"/>
              <w:jc w:val="right"/>
              <w:rPr>
                <w:sz w:val="20"/>
                <w:szCs w:val="20"/>
              </w:rPr>
            </w:pPr>
            <w:r w:rsidRPr="00327EA0">
              <w:rPr>
                <w:sz w:val="20"/>
                <w:szCs w:val="20"/>
              </w:rPr>
              <w:t>$1</w:t>
            </w:r>
            <w:r>
              <w:rPr>
                <w:sz w:val="20"/>
                <w:szCs w:val="20"/>
              </w:rPr>
              <w:t>3</w:t>
            </w:r>
            <w:r w:rsidRPr="00327EA0">
              <w:rPr>
                <w:sz w:val="20"/>
                <w:szCs w:val="20"/>
              </w:rPr>
              <w:t>,</w:t>
            </w:r>
            <w:r>
              <w:rPr>
                <w:sz w:val="20"/>
                <w:szCs w:val="20"/>
              </w:rPr>
              <w:t>950</w:t>
            </w:r>
          </w:p>
        </w:tc>
      </w:tr>
      <w:tr w:rsidR="00327EA0" w:rsidRPr="00327EA0" w14:paraId="0E6D28A2" w14:textId="77777777" w:rsidTr="00327EA0">
        <w:tc>
          <w:tcPr>
            <w:tcW w:w="1795" w:type="dxa"/>
            <w:vAlign w:val="center"/>
          </w:tcPr>
          <w:p w14:paraId="5EF4A6FA" w14:textId="77777777" w:rsidR="00327EA0" w:rsidRPr="00327EA0" w:rsidRDefault="00327EA0" w:rsidP="00327EA0">
            <w:pPr>
              <w:spacing w:before="60" w:after="60"/>
              <w:rPr>
                <w:sz w:val="20"/>
                <w:szCs w:val="20"/>
              </w:rPr>
            </w:pPr>
            <w:r w:rsidRPr="00327EA0">
              <w:rPr>
                <w:sz w:val="20"/>
                <w:szCs w:val="20"/>
              </w:rPr>
              <w:t xml:space="preserve">&gt; 6,000,000 </w:t>
            </w:r>
          </w:p>
        </w:tc>
        <w:tc>
          <w:tcPr>
            <w:tcW w:w="990" w:type="dxa"/>
            <w:vAlign w:val="center"/>
          </w:tcPr>
          <w:p w14:paraId="6AB6AA32" w14:textId="4B68EA8D" w:rsidR="00327EA0" w:rsidRPr="00327EA0" w:rsidRDefault="00327EA0" w:rsidP="00327EA0">
            <w:pPr>
              <w:spacing w:before="60" w:after="60"/>
              <w:jc w:val="right"/>
              <w:rPr>
                <w:sz w:val="20"/>
                <w:szCs w:val="20"/>
              </w:rPr>
            </w:pPr>
            <w:r w:rsidRPr="00327EA0">
              <w:rPr>
                <w:sz w:val="20"/>
                <w:szCs w:val="20"/>
              </w:rPr>
              <w:t>$1</w:t>
            </w:r>
            <w:r>
              <w:rPr>
                <w:sz w:val="20"/>
                <w:szCs w:val="20"/>
              </w:rPr>
              <w:t>6,675</w:t>
            </w:r>
          </w:p>
        </w:tc>
        <w:tc>
          <w:tcPr>
            <w:tcW w:w="1221" w:type="dxa"/>
            <w:vAlign w:val="center"/>
          </w:tcPr>
          <w:p w14:paraId="7CAC3726" w14:textId="6C1BA8D5" w:rsidR="00327EA0" w:rsidRPr="00327EA0" w:rsidRDefault="00327EA0" w:rsidP="00327EA0">
            <w:pPr>
              <w:spacing w:before="60" w:after="60"/>
              <w:jc w:val="right"/>
              <w:rPr>
                <w:sz w:val="20"/>
                <w:szCs w:val="20"/>
              </w:rPr>
            </w:pPr>
            <w:r w:rsidRPr="00327EA0">
              <w:rPr>
                <w:sz w:val="20"/>
                <w:szCs w:val="20"/>
              </w:rPr>
              <w:t>$1</w:t>
            </w:r>
            <w:r>
              <w:rPr>
                <w:sz w:val="20"/>
                <w:szCs w:val="20"/>
              </w:rPr>
              <w:t>1,975</w:t>
            </w:r>
          </w:p>
        </w:tc>
        <w:tc>
          <w:tcPr>
            <w:tcW w:w="1336" w:type="dxa"/>
            <w:vAlign w:val="center"/>
          </w:tcPr>
          <w:p w14:paraId="75CC97B9" w14:textId="0A1D52F8" w:rsidR="00327EA0" w:rsidRPr="00327EA0" w:rsidRDefault="00327EA0" w:rsidP="00327EA0">
            <w:pPr>
              <w:spacing w:before="60" w:after="60"/>
              <w:jc w:val="right"/>
              <w:rPr>
                <w:sz w:val="20"/>
                <w:szCs w:val="20"/>
              </w:rPr>
            </w:pPr>
            <w:r w:rsidRPr="00327EA0">
              <w:rPr>
                <w:sz w:val="20"/>
                <w:szCs w:val="20"/>
              </w:rPr>
              <w:t>$</w:t>
            </w:r>
            <w:r>
              <w:rPr>
                <w:sz w:val="20"/>
                <w:szCs w:val="20"/>
              </w:rPr>
              <w:t>10,425</w:t>
            </w:r>
          </w:p>
        </w:tc>
        <w:tc>
          <w:tcPr>
            <w:tcW w:w="1336" w:type="dxa"/>
            <w:vAlign w:val="center"/>
          </w:tcPr>
          <w:p w14:paraId="44E59C34" w14:textId="4826BC6C" w:rsidR="00327EA0" w:rsidRPr="00327EA0" w:rsidRDefault="00327EA0" w:rsidP="00327EA0">
            <w:pPr>
              <w:spacing w:before="60" w:after="60"/>
              <w:jc w:val="right"/>
              <w:rPr>
                <w:sz w:val="20"/>
                <w:szCs w:val="20"/>
              </w:rPr>
            </w:pPr>
            <w:r w:rsidRPr="00327EA0">
              <w:rPr>
                <w:sz w:val="20"/>
                <w:szCs w:val="20"/>
              </w:rPr>
              <w:t>$1</w:t>
            </w:r>
            <w:r>
              <w:rPr>
                <w:sz w:val="20"/>
                <w:szCs w:val="20"/>
              </w:rPr>
              <w:t>1,450</w:t>
            </w:r>
          </w:p>
        </w:tc>
        <w:tc>
          <w:tcPr>
            <w:tcW w:w="1336" w:type="dxa"/>
            <w:vAlign w:val="center"/>
          </w:tcPr>
          <w:p w14:paraId="37A64471" w14:textId="11ABD9B3" w:rsidR="00327EA0" w:rsidRPr="00327EA0" w:rsidRDefault="00327EA0" w:rsidP="00327EA0">
            <w:pPr>
              <w:spacing w:before="60" w:after="60"/>
              <w:jc w:val="right"/>
              <w:rPr>
                <w:sz w:val="20"/>
                <w:szCs w:val="20"/>
              </w:rPr>
            </w:pPr>
            <w:r w:rsidRPr="00327EA0">
              <w:rPr>
                <w:sz w:val="20"/>
                <w:szCs w:val="20"/>
              </w:rPr>
              <w:t>$1</w:t>
            </w:r>
            <w:r>
              <w:rPr>
                <w:sz w:val="20"/>
                <w:szCs w:val="20"/>
              </w:rPr>
              <w:t>8,375</w:t>
            </w:r>
          </w:p>
        </w:tc>
        <w:tc>
          <w:tcPr>
            <w:tcW w:w="1336" w:type="dxa"/>
            <w:vAlign w:val="center"/>
          </w:tcPr>
          <w:p w14:paraId="009C7CD2" w14:textId="2F4CC245" w:rsidR="00327EA0" w:rsidRPr="00327EA0" w:rsidRDefault="00327EA0" w:rsidP="00327EA0">
            <w:pPr>
              <w:spacing w:before="60" w:after="60"/>
              <w:jc w:val="right"/>
              <w:rPr>
                <w:sz w:val="20"/>
                <w:szCs w:val="20"/>
              </w:rPr>
            </w:pPr>
            <w:r w:rsidRPr="00327EA0">
              <w:rPr>
                <w:sz w:val="20"/>
                <w:szCs w:val="20"/>
              </w:rPr>
              <w:t>$</w:t>
            </w:r>
            <w:r>
              <w:rPr>
                <w:sz w:val="20"/>
                <w:szCs w:val="20"/>
              </w:rPr>
              <w:t>20</w:t>
            </w:r>
            <w:r w:rsidRPr="00327EA0">
              <w:rPr>
                <w:sz w:val="20"/>
                <w:szCs w:val="20"/>
              </w:rPr>
              <w:t>,</w:t>
            </w:r>
            <w:r>
              <w:rPr>
                <w:sz w:val="20"/>
                <w:szCs w:val="20"/>
              </w:rPr>
              <w:t>925</w:t>
            </w:r>
          </w:p>
        </w:tc>
      </w:tr>
    </w:tbl>
    <w:p w14:paraId="70B0ECE6" w14:textId="77777777" w:rsidR="00327EA0" w:rsidRPr="00327EA0" w:rsidRDefault="00327EA0" w:rsidP="00327EA0">
      <w:pPr>
        <w:keepNext/>
        <w:keepLines/>
        <w:spacing w:before="40" w:after="0"/>
        <w:jc w:val="center"/>
        <w:outlineLvl w:val="1"/>
        <w:rPr>
          <w:rFonts w:asciiTheme="majorHAnsi" w:eastAsiaTheme="majorEastAsia" w:hAnsiTheme="majorHAnsi" w:cstheme="majorBidi"/>
          <w:b/>
          <w:color w:val="2E74B5" w:themeColor="accent1" w:themeShade="BF"/>
          <w:sz w:val="26"/>
          <w:szCs w:val="26"/>
          <w:u w:val="single"/>
        </w:rPr>
      </w:pPr>
      <w:r w:rsidRPr="00327EA0">
        <w:rPr>
          <w:rFonts w:asciiTheme="majorHAnsi" w:eastAsiaTheme="majorEastAsia" w:hAnsiTheme="majorHAnsi" w:cstheme="majorBidi"/>
          <w:b/>
          <w:color w:val="2E74B5" w:themeColor="accent1" w:themeShade="BF"/>
          <w:sz w:val="26"/>
          <w:szCs w:val="26"/>
          <w:u w:val="single"/>
        </w:rPr>
        <w:br/>
      </w:r>
    </w:p>
    <w:tbl>
      <w:tblPr>
        <w:tblStyle w:val="TableGrid1"/>
        <w:tblW w:w="0" w:type="auto"/>
        <w:jc w:val="center"/>
        <w:tblLook w:val="04A0" w:firstRow="1" w:lastRow="0" w:firstColumn="1" w:lastColumn="0" w:noHBand="0" w:noVBand="1"/>
      </w:tblPr>
      <w:tblGrid>
        <w:gridCol w:w="1795"/>
        <w:gridCol w:w="990"/>
        <w:gridCol w:w="1221"/>
        <w:gridCol w:w="1336"/>
        <w:gridCol w:w="1336"/>
        <w:gridCol w:w="1336"/>
        <w:gridCol w:w="1336"/>
      </w:tblGrid>
      <w:tr w:rsidR="00327EA0" w:rsidRPr="00327EA0" w14:paraId="32AD9D04" w14:textId="77777777" w:rsidTr="008B5D08">
        <w:trPr>
          <w:jc w:val="center"/>
        </w:trPr>
        <w:tc>
          <w:tcPr>
            <w:tcW w:w="9350" w:type="dxa"/>
            <w:gridSpan w:val="7"/>
            <w:shd w:val="clear" w:color="auto" w:fill="DEEAF6" w:themeFill="accent1" w:themeFillTint="33"/>
          </w:tcPr>
          <w:p w14:paraId="4E7D297E" w14:textId="77777777" w:rsidR="00327EA0" w:rsidRPr="00327EA0" w:rsidRDefault="00327EA0" w:rsidP="00327EA0">
            <w:pPr>
              <w:spacing w:before="60" w:after="60"/>
              <w:jc w:val="center"/>
              <w:rPr>
                <w:b/>
                <w:sz w:val="20"/>
                <w:szCs w:val="20"/>
              </w:rPr>
            </w:pPr>
            <w:r w:rsidRPr="00327EA0">
              <w:rPr>
                <w:b/>
                <w:sz w:val="20"/>
                <w:szCs w:val="20"/>
              </w:rPr>
              <w:t>FY 2019 RADIO STATION REGULATORY FEES</w:t>
            </w:r>
          </w:p>
        </w:tc>
      </w:tr>
      <w:tr w:rsidR="00327EA0" w:rsidRPr="00327EA0" w14:paraId="14EB28DF" w14:textId="77777777" w:rsidTr="008B5D08">
        <w:trPr>
          <w:trHeight w:val="1313"/>
          <w:jc w:val="center"/>
        </w:trPr>
        <w:tc>
          <w:tcPr>
            <w:tcW w:w="1795" w:type="dxa"/>
            <w:vAlign w:val="center"/>
          </w:tcPr>
          <w:p w14:paraId="496D7EEA" w14:textId="77777777" w:rsidR="00327EA0" w:rsidRPr="00327EA0" w:rsidRDefault="00327EA0" w:rsidP="00327EA0">
            <w:pPr>
              <w:spacing w:before="60" w:after="60"/>
              <w:jc w:val="center"/>
              <w:rPr>
                <w:sz w:val="20"/>
                <w:szCs w:val="20"/>
              </w:rPr>
            </w:pPr>
            <w:r w:rsidRPr="00327EA0">
              <w:rPr>
                <w:sz w:val="20"/>
                <w:szCs w:val="20"/>
              </w:rPr>
              <w:t>Population Served</w:t>
            </w:r>
          </w:p>
        </w:tc>
        <w:tc>
          <w:tcPr>
            <w:tcW w:w="990" w:type="dxa"/>
            <w:vAlign w:val="center"/>
          </w:tcPr>
          <w:p w14:paraId="08AAB665" w14:textId="77777777" w:rsidR="00327EA0" w:rsidRPr="00327EA0" w:rsidRDefault="00327EA0" w:rsidP="00327EA0">
            <w:pPr>
              <w:spacing w:before="60" w:after="60"/>
              <w:jc w:val="center"/>
              <w:rPr>
                <w:sz w:val="20"/>
                <w:szCs w:val="20"/>
              </w:rPr>
            </w:pPr>
            <w:r w:rsidRPr="00327EA0">
              <w:rPr>
                <w:sz w:val="20"/>
                <w:szCs w:val="20"/>
              </w:rPr>
              <w:t xml:space="preserve">AM </w:t>
            </w:r>
            <w:r w:rsidRPr="00327EA0">
              <w:rPr>
                <w:sz w:val="20"/>
                <w:szCs w:val="20"/>
              </w:rPr>
              <w:br/>
              <w:t>Class A</w:t>
            </w:r>
          </w:p>
        </w:tc>
        <w:tc>
          <w:tcPr>
            <w:tcW w:w="1221" w:type="dxa"/>
            <w:vAlign w:val="center"/>
          </w:tcPr>
          <w:p w14:paraId="1823FCF0"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B</w:t>
            </w:r>
          </w:p>
        </w:tc>
        <w:tc>
          <w:tcPr>
            <w:tcW w:w="1336" w:type="dxa"/>
            <w:vAlign w:val="center"/>
          </w:tcPr>
          <w:p w14:paraId="37AB382A"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C</w:t>
            </w:r>
          </w:p>
        </w:tc>
        <w:tc>
          <w:tcPr>
            <w:tcW w:w="1336" w:type="dxa"/>
            <w:vAlign w:val="center"/>
          </w:tcPr>
          <w:p w14:paraId="3E9666D8" w14:textId="77777777" w:rsidR="00327EA0" w:rsidRPr="00327EA0" w:rsidRDefault="00327EA0" w:rsidP="00327EA0">
            <w:pPr>
              <w:spacing w:before="60" w:after="60"/>
              <w:jc w:val="center"/>
              <w:rPr>
                <w:sz w:val="20"/>
                <w:szCs w:val="20"/>
              </w:rPr>
            </w:pPr>
            <w:r w:rsidRPr="00327EA0">
              <w:rPr>
                <w:sz w:val="20"/>
                <w:szCs w:val="20"/>
              </w:rPr>
              <w:t>AM</w:t>
            </w:r>
            <w:r w:rsidRPr="00327EA0">
              <w:rPr>
                <w:sz w:val="20"/>
                <w:szCs w:val="20"/>
              </w:rPr>
              <w:br/>
              <w:t>Class D</w:t>
            </w:r>
          </w:p>
        </w:tc>
        <w:tc>
          <w:tcPr>
            <w:tcW w:w="1336" w:type="dxa"/>
            <w:vAlign w:val="center"/>
          </w:tcPr>
          <w:p w14:paraId="2AF4402A" w14:textId="77777777" w:rsidR="00327EA0" w:rsidRPr="00327EA0" w:rsidRDefault="00327EA0" w:rsidP="00327EA0">
            <w:pPr>
              <w:spacing w:before="60" w:after="60"/>
              <w:jc w:val="center"/>
              <w:rPr>
                <w:sz w:val="20"/>
                <w:szCs w:val="20"/>
              </w:rPr>
            </w:pPr>
            <w:r w:rsidRPr="00327EA0">
              <w:rPr>
                <w:sz w:val="20"/>
                <w:szCs w:val="20"/>
              </w:rPr>
              <w:t>FM Classes</w:t>
            </w:r>
            <w:r w:rsidRPr="00327EA0">
              <w:rPr>
                <w:sz w:val="20"/>
                <w:szCs w:val="20"/>
              </w:rPr>
              <w:br/>
              <w:t>A, B1 &amp; C3</w:t>
            </w:r>
          </w:p>
        </w:tc>
        <w:tc>
          <w:tcPr>
            <w:tcW w:w="1336" w:type="dxa"/>
            <w:vAlign w:val="center"/>
          </w:tcPr>
          <w:p w14:paraId="774E60F9" w14:textId="77777777" w:rsidR="00327EA0" w:rsidRPr="00327EA0" w:rsidRDefault="00327EA0" w:rsidP="00327EA0">
            <w:pPr>
              <w:spacing w:before="60" w:after="60"/>
              <w:jc w:val="center"/>
              <w:rPr>
                <w:sz w:val="20"/>
                <w:szCs w:val="20"/>
              </w:rPr>
            </w:pPr>
            <w:r w:rsidRPr="00327EA0">
              <w:rPr>
                <w:sz w:val="20"/>
                <w:szCs w:val="20"/>
              </w:rPr>
              <w:t>FM Classes B, C, C0, C1 &amp; C2</w:t>
            </w:r>
          </w:p>
        </w:tc>
      </w:tr>
      <w:tr w:rsidR="00327EA0" w:rsidRPr="00327EA0" w14:paraId="4E1648A8" w14:textId="77777777" w:rsidTr="008B5D08">
        <w:trPr>
          <w:trHeight w:val="350"/>
          <w:jc w:val="center"/>
        </w:trPr>
        <w:tc>
          <w:tcPr>
            <w:tcW w:w="1795" w:type="dxa"/>
            <w:vAlign w:val="center"/>
          </w:tcPr>
          <w:p w14:paraId="1C8BA298" w14:textId="77777777" w:rsidR="00327EA0" w:rsidRPr="00327EA0" w:rsidRDefault="00327EA0" w:rsidP="00327EA0">
            <w:pPr>
              <w:spacing w:before="60" w:after="60"/>
              <w:rPr>
                <w:sz w:val="20"/>
                <w:szCs w:val="20"/>
              </w:rPr>
            </w:pPr>
            <w:r w:rsidRPr="00327EA0">
              <w:rPr>
                <w:sz w:val="20"/>
                <w:szCs w:val="20"/>
              </w:rPr>
              <w:t>&lt;=25,000</w:t>
            </w:r>
          </w:p>
        </w:tc>
        <w:tc>
          <w:tcPr>
            <w:tcW w:w="990" w:type="dxa"/>
            <w:vAlign w:val="center"/>
          </w:tcPr>
          <w:p w14:paraId="33E961CF" w14:textId="77777777" w:rsidR="00327EA0" w:rsidRPr="00327EA0" w:rsidRDefault="00327EA0" w:rsidP="00327EA0">
            <w:pPr>
              <w:spacing w:before="60" w:after="60"/>
              <w:jc w:val="right"/>
              <w:rPr>
                <w:sz w:val="20"/>
                <w:szCs w:val="20"/>
              </w:rPr>
            </w:pPr>
            <w:r w:rsidRPr="00327EA0">
              <w:rPr>
                <w:sz w:val="20"/>
                <w:szCs w:val="20"/>
              </w:rPr>
              <w:t>$950</w:t>
            </w:r>
          </w:p>
        </w:tc>
        <w:tc>
          <w:tcPr>
            <w:tcW w:w="1221" w:type="dxa"/>
            <w:vAlign w:val="center"/>
          </w:tcPr>
          <w:p w14:paraId="1B5A0BB5" w14:textId="77777777" w:rsidR="00327EA0" w:rsidRPr="00327EA0" w:rsidRDefault="00327EA0" w:rsidP="00327EA0">
            <w:pPr>
              <w:spacing w:before="60" w:after="60"/>
              <w:jc w:val="right"/>
              <w:rPr>
                <w:sz w:val="20"/>
                <w:szCs w:val="20"/>
              </w:rPr>
            </w:pPr>
            <w:r w:rsidRPr="00327EA0">
              <w:rPr>
                <w:sz w:val="20"/>
                <w:szCs w:val="20"/>
              </w:rPr>
              <w:t>$685</w:t>
            </w:r>
          </w:p>
        </w:tc>
        <w:tc>
          <w:tcPr>
            <w:tcW w:w="1336" w:type="dxa"/>
            <w:vAlign w:val="center"/>
          </w:tcPr>
          <w:p w14:paraId="687FD97F" w14:textId="77777777" w:rsidR="00327EA0" w:rsidRPr="00327EA0" w:rsidRDefault="00327EA0" w:rsidP="00327EA0">
            <w:pPr>
              <w:spacing w:before="60" w:after="60"/>
              <w:jc w:val="right"/>
              <w:rPr>
                <w:sz w:val="20"/>
                <w:szCs w:val="20"/>
              </w:rPr>
            </w:pPr>
            <w:r w:rsidRPr="00327EA0">
              <w:rPr>
                <w:sz w:val="20"/>
                <w:szCs w:val="20"/>
              </w:rPr>
              <w:t>$595</w:t>
            </w:r>
          </w:p>
        </w:tc>
        <w:tc>
          <w:tcPr>
            <w:tcW w:w="1336" w:type="dxa"/>
            <w:vAlign w:val="center"/>
          </w:tcPr>
          <w:p w14:paraId="0BC7C690" w14:textId="77777777" w:rsidR="00327EA0" w:rsidRPr="00327EA0" w:rsidRDefault="00327EA0" w:rsidP="00327EA0">
            <w:pPr>
              <w:spacing w:before="60" w:after="60"/>
              <w:jc w:val="right"/>
              <w:rPr>
                <w:sz w:val="20"/>
                <w:szCs w:val="20"/>
              </w:rPr>
            </w:pPr>
            <w:r w:rsidRPr="00327EA0">
              <w:rPr>
                <w:sz w:val="20"/>
                <w:szCs w:val="20"/>
              </w:rPr>
              <w:t>$655</w:t>
            </w:r>
          </w:p>
        </w:tc>
        <w:tc>
          <w:tcPr>
            <w:tcW w:w="1336" w:type="dxa"/>
            <w:vAlign w:val="center"/>
          </w:tcPr>
          <w:p w14:paraId="0A194B99" w14:textId="77777777" w:rsidR="00327EA0" w:rsidRPr="00327EA0" w:rsidRDefault="00327EA0" w:rsidP="00327EA0">
            <w:pPr>
              <w:spacing w:before="60" w:after="60"/>
              <w:jc w:val="right"/>
              <w:rPr>
                <w:sz w:val="20"/>
                <w:szCs w:val="20"/>
              </w:rPr>
            </w:pPr>
            <w:r w:rsidRPr="00327EA0">
              <w:rPr>
                <w:sz w:val="20"/>
                <w:szCs w:val="20"/>
              </w:rPr>
              <w:t>$1,000</w:t>
            </w:r>
          </w:p>
        </w:tc>
        <w:tc>
          <w:tcPr>
            <w:tcW w:w="1336" w:type="dxa"/>
            <w:vAlign w:val="center"/>
          </w:tcPr>
          <w:p w14:paraId="0775D26D" w14:textId="77777777" w:rsidR="00327EA0" w:rsidRPr="00327EA0" w:rsidRDefault="00327EA0" w:rsidP="00327EA0">
            <w:pPr>
              <w:spacing w:before="60" w:after="60"/>
              <w:jc w:val="right"/>
              <w:rPr>
                <w:sz w:val="20"/>
                <w:szCs w:val="20"/>
              </w:rPr>
            </w:pPr>
            <w:r w:rsidRPr="00327EA0">
              <w:rPr>
                <w:sz w:val="20"/>
                <w:szCs w:val="20"/>
              </w:rPr>
              <w:t>$1,200</w:t>
            </w:r>
          </w:p>
        </w:tc>
      </w:tr>
      <w:tr w:rsidR="00327EA0" w:rsidRPr="00327EA0" w14:paraId="429DAF5E" w14:textId="77777777" w:rsidTr="008B5D08">
        <w:trPr>
          <w:jc w:val="center"/>
        </w:trPr>
        <w:tc>
          <w:tcPr>
            <w:tcW w:w="1795" w:type="dxa"/>
            <w:vAlign w:val="center"/>
          </w:tcPr>
          <w:p w14:paraId="47EE438D" w14:textId="77777777" w:rsidR="00327EA0" w:rsidRPr="00327EA0" w:rsidRDefault="00327EA0" w:rsidP="00327EA0">
            <w:pPr>
              <w:spacing w:before="60" w:after="60"/>
              <w:rPr>
                <w:sz w:val="20"/>
                <w:szCs w:val="20"/>
              </w:rPr>
            </w:pPr>
            <w:r w:rsidRPr="00327EA0">
              <w:rPr>
                <w:sz w:val="20"/>
                <w:szCs w:val="20"/>
              </w:rPr>
              <w:t>25,001 – 75,000</w:t>
            </w:r>
          </w:p>
        </w:tc>
        <w:tc>
          <w:tcPr>
            <w:tcW w:w="990" w:type="dxa"/>
            <w:vAlign w:val="center"/>
          </w:tcPr>
          <w:p w14:paraId="1AA24EFE" w14:textId="77777777" w:rsidR="00327EA0" w:rsidRPr="00327EA0" w:rsidRDefault="00327EA0" w:rsidP="00327EA0">
            <w:pPr>
              <w:spacing w:before="60" w:after="60"/>
              <w:jc w:val="right"/>
              <w:rPr>
                <w:sz w:val="20"/>
                <w:szCs w:val="20"/>
              </w:rPr>
            </w:pPr>
            <w:r w:rsidRPr="00327EA0">
              <w:rPr>
                <w:sz w:val="20"/>
                <w:szCs w:val="20"/>
              </w:rPr>
              <w:t>$1,425</w:t>
            </w:r>
          </w:p>
        </w:tc>
        <w:tc>
          <w:tcPr>
            <w:tcW w:w="1221" w:type="dxa"/>
            <w:vAlign w:val="center"/>
          </w:tcPr>
          <w:p w14:paraId="5FBD26C9" w14:textId="77777777" w:rsidR="00327EA0" w:rsidRPr="00327EA0" w:rsidRDefault="00327EA0" w:rsidP="00327EA0">
            <w:pPr>
              <w:spacing w:before="60" w:after="60"/>
              <w:jc w:val="right"/>
              <w:rPr>
                <w:sz w:val="20"/>
                <w:szCs w:val="20"/>
              </w:rPr>
            </w:pPr>
            <w:r w:rsidRPr="00327EA0">
              <w:rPr>
                <w:sz w:val="20"/>
                <w:szCs w:val="20"/>
              </w:rPr>
              <w:t>$1,000</w:t>
            </w:r>
          </w:p>
        </w:tc>
        <w:tc>
          <w:tcPr>
            <w:tcW w:w="1336" w:type="dxa"/>
            <w:vAlign w:val="center"/>
          </w:tcPr>
          <w:p w14:paraId="7685D5EB" w14:textId="77777777" w:rsidR="00327EA0" w:rsidRPr="00327EA0" w:rsidRDefault="00327EA0" w:rsidP="00327EA0">
            <w:pPr>
              <w:spacing w:before="60" w:after="60"/>
              <w:jc w:val="right"/>
              <w:rPr>
                <w:sz w:val="20"/>
                <w:szCs w:val="20"/>
              </w:rPr>
            </w:pPr>
            <w:r w:rsidRPr="00327EA0">
              <w:rPr>
                <w:sz w:val="20"/>
                <w:szCs w:val="20"/>
              </w:rPr>
              <w:t>$895</w:t>
            </w:r>
          </w:p>
        </w:tc>
        <w:tc>
          <w:tcPr>
            <w:tcW w:w="1336" w:type="dxa"/>
            <w:vAlign w:val="center"/>
          </w:tcPr>
          <w:p w14:paraId="076C7D9A" w14:textId="77777777" w:rsidR="00327EA0" w:rsidRPr="00327EA0" w:rsidRDefault="00327EA0" w:rsidP="00327EA0">
            <w:pPr>
              <w:spacing w:before="60" w:after="60"/>
              <w:jc w:val="right"/>
              <w:rPr>
                <w:sz w:val="20"/>
                <w:szCs w:val="20"/>
              </w:rPr>
            </w:pPr>
            <w:r w:rsidRPr="00327EA0">
              <w:rPr>
                <w:sz w:val="20"/>
                <w:szCs w:val="20"/>
              </w:rPr>
              <w:t>$985</w:t>
            </w:r>
          </w:p>
        </w:tc>
        <w:tc>
          <w:tcPr>
            <w:tcW w:w="1336" w:type="dxa"/>
            <w:vAlign w:val="center"/>
          </w:tcPr>
          <w:p w14:paraId="681B3FB4" w14:textId="77777777" w:rsidR="00327EA0" w:rsidRPr="00327EA0" w:rsidRDefault="00327EA0" w:rsidP="00327EA0">
            <w:pPr>
              <w:spacing w:before="60" w:after="60"/>
              <w:jc w:val="right"/>
              <w:rPr>
                <w:sz w:val="20"/>
                <w:szCs w:val="20"/>
              </w:rPr>
            </w:pPr>
            <w:r w:rsidRPr="00327EA0">
              <w:rPr>
                <w:sz w:val="20"/>
                <w:szCs w:val="20"/>
              </w:rPr>
              <w:t>$1,575</w:t>
            </w:r>
          </w:p>
        </w:tc>
        <w:tc>
          <w:tcPr>
            <w:tcW w:w="1336" w:type="dxa"/>
            <w:vAlign w:val="center"/>
          </w:tcPr>
          <w:p w14:paraId="7867D685" w14:textId="77777777" w:rsidR="00327EA0" w:rsidRPr="00327EA0" w:rsidRDefault="00327EA0" w:rsidP="00327EA0">
            <w:pPr>
              <w:spacing w:before="60" w:after="60"/>
              <w:jc w:val="right"/>
              <w:rPr>
                <w:sz w:val="20"/>
                <w:szCs w:val="20"/>
              </w:rPr>
            </w:pPr>
            <w:r w:rsidRPr="00327EA0">
              <w:rPr>
                <w:sz w:val="20"/>
                <w:szCs w:val="20"/>
              </w:rPr>
              <w:t>$1,800</w:t>
            </w:r>
          </w:p>
        </w:tc>
      </w:tr>
      <w:tr w:rsidR="00327EA0" w:rsidRPr="00327EA0" w14:paraId="5ADB4562" w14:textId="77777777" w:rsidTr="008B5D08">
        <w:trPr>
          <w:jc w:val="center"/>
        </w:trPr>
        <w:tc>
          <w:tcPr>
            <w:tcW w:w="1795" w:type="dxa"/>
            <w:vAlign w:val="center"/>
          </w:tcPr>
          <w:p w14:paraId="365D7726" w14:textId="77777777" w:rsidR="00327EA0" w:rsidRPr="00327EA0" w:rsidRDefault="00327EA0" w:rsidP="00327EA0">
            <w:pPr>
              <w:spacing w:before="60" w:after="60"/>
              <w:rPr>
                <w:sz w:val="20"/>
                <w:szCs w:val="20"/>
              </w:rPr>
            </w:pPr>
            <w:r w:rsidRPr="00327EA0">
              <w:rPr>
                <w:sz w:val="20"/>
                <w:szCs w:val="20"/>
              </w:rPr>
              <w:t>75,001 – 150,000</w:t>
            </w:r>
          </w:p>
        </w:tc>
        <w:tc>
          <w:tcPr>
            <w:tcW w:w="990" w:type="dxa"/>
            <w:vAlign w:val="center"/>
          </w:tcPr>
          <w:p w14:paraId="3AB0CA04" w14:textId="77777777" w:rsidR="00327EA0" w:rsidRPr="00327EA0" w:rsidRDefault="00327EA0" w:rsidP="00327EA0">
            <w:pPr>
              <w:spacing w:before="60" w:after="60"/>
              <w:jc w:val="right"/>
              <w:rPr>
                <w:sz w:val="20"/>
                <w:szCs w:val="20"/>
              </w:rPr>
            </w:pPr>
            <w:r w:rsidRPr="00327EA0">
              <w:rPr>
                <w:sz w:val="20"/>
                <w:szCs w:val="20"/>
              </w:rPr>
              <w:t>$2,150</w:t>
            </w:r>
          </w:p>
        </w:tc>
        <w:tc>
          <w:tcPr>
            <w:tcW w:w="1221" w:type="dxa"/>
            <w:vAlign w:val="center"/>
          </w:tcPr>
          <w:p w14:paraId="2B42D3CC" w14:textId="77777777" w:rsidR="00327EA0" w:rsidRPr="00327EA0" w:rsidRDefault="00327EA0" w:rsidP="00327EA0">
            <w:pPr>
              <w:spacing w:before="60" w:after="60"/>
              <w:jc w:val="right"/>
              <w:rPr>
                <w:sz w:val="20"/>
                <w:szCs w:val="20"/>
              </w:rPr>
            </w:pPr>
            <w:r w:rsidRPr="00327EA0">
              <w:rPr>
                <w:sz w:val="20"/>
                <w:szCs w:val="20"/>
              </w:rPr>
              <w:t>$1,550</w:t>
            </w:r>
          </w:p>
        </w:tc>
        <w:tc>
          <w:tcPr>
            <w:tcW w:w="1336" w:type="dxa"/>
            <w:vAlign w:val="center"/>
          </w:tcPr>
          <w:p w14:paraId="3DC3F281" w14:textId="77777777" w:rsidR="00327EA0" w:rsidRPr="00327EA0" w:rsidRDefault="00327EA0" w:rsidP="00327EA0">
            <w:pPr>
              <w:spacing w:before="60" w:after="60"/>
              <w:jc w:val="right"/>
              <w:rPr>
                <w:sz w:val="20"/>
                <w:szCs w:val="20"/>
              </w:rPr>
            </w:pPr>
            <w:r w:rsidRPr="00327EA0">
              <w:rPr>
                <w:sz w:val="20"/>
                <w:szCs w:val="20"/>
              </w:rPr>
              <w:t>$1,350</w:t>
            </w:r>
          </w:p>
        </w:tc>
        <w:tc>
          <w:tcPr>
            <w:tcW w:w="1336" w:type="dxa"/>
            <w:vAlign w:val="center"/>
          </w:tcPr>
          <w:p w14:paraId="213B1DF3" w14:textId="77777777" w:rsidR="00327EA0" w:rsidRPr="00327EA0" w:rsidRDefault="00327EA0" w:rsidP="00327EA0">
            <w:pPr>
              <w:spacing w:before="60" w:after="60"/>
              <w:jc w:val="right"/>
              <w:rPr>
                <w:sz w:val="20"/>
                <w:szCs w:val="20"/>
              </w:rPr>
            </w:pPr>
            <w:r w:rsidRPr="00327EA0">
              <w:rPr>
                <w:sz w:val="20"/>
                <w:szCs w:val="20"/>
              </w:rPr>
              <w:t>$1,475</w:t>
            </w:r>
          </w:p>
        </w:tc>
        <w:tc>
          <w:tcPr>
            <w:tcW w:w="1336" w:type="dxa"/>
            <w:vAlign w:val="center"/>
          </w:tcPr>
          <w:p w14:paraId="73F8BA02" w14:textId="77777777" w:rsidR="00327EA0" w:rsidRPr="00327EA0" w:rsidRDefault="00327EA0" w:rsidP="00327EA0">
            <w:pPr>
              <w:spacing w:before="60" w:after="60"/>
              <w:jc w:val="right"/>
              <w:rPr>
                <w:sz w:val="20"/>
                <w:szCs w:val="20"/>
              </w:rPr>
            </w:pPr>
            <w:r w:rsidRPr="00327EA0">
              <w:rPr>
                <w:sz w:val="20"/>
                <w:szCs w:val="20"/>
              </w:rPr>
              <w:t>$2,375</w:t>
            </w:r>
          </w:p>
        </w:tc>
        <w:tc>
          <w:tcPr>
            <w:tcW w:w="1336" w:type="dxa"/>
            <w:vAlign w:val="center"/>
          </w:tcPr>
          <w:p w14:paraId="2804CA8D" w14:textId="77777777" w:rsidR="00327EA0" w:rsidRPr="00327EA0" w:rsidRDefault="00327EA0" w:rsidP="00327EA0">
            <w:pPr>
              <w:spacing w:before="60" w:after="60"/>
              <w:jc w:val="right"/>
              <w:rPr>
                <w:sz w:val="20"/>
                <w:szCs w:val="20"/>
              </w:rPr>
            </w:pPr>
            <w:r w:rsidRPr="00327EA0">
              <w:rPr>
                <w:sz w:val="20"/>
                <w:szCs w:val="20"/>
              </w:rPr>
              <w:t>$2,700</w:t>
            </w:r>
          </w:p>
        </w:tc>
      </w:tr>
      <w:tr w:rsidR="00327EA0" w:rsidRPr="00327EA0" w14:paraId="606A235F" w14:textId="77777777" w:rsidTr="008B5D08">
        <w:trPr>
          <w:jc w:val="center"/>
        </w:trPr>
        <w:tc>
          <w:tcPr>
            <w:tcW w:w="1795" w:type="dxa"/>
            <w:vAlign w:val="center"/>
          </w:tcPr>
          <w:p w14:paraId="2901A95A" w14:textId="77777777" w:rsidR="00327EA0" w:rsidRPr="00327EA0" w:rsidRDefault="00327EA0" w:rsidP="00327EA0">
            <w:pPr>
              <w:spacing w:before="60" w:after="60"/>
              <w:rPr>
                <w:sz w:val="20"/>
                <w:szCs w:val="20"/>
              </w:rPr>
            </w:pPr>
            <w:r w:rsidRPr="00327EA0">
              <w:rPr>
                <w:sz w:val="20"/>
                <w:szCs w:val="20"/>
              </w:rPr>
              <w:t>150,001 – 500,000</w:t>
            </w:r>
          </w:p>
        </w:tc>
        <w:tc>
          <w:tcPr>
            <w:tcW w:w="990" w:type="dxa"/>
            <w:vAlign w:val="center"/>
          </w:tcPr>
          <w:p w14:paraId="3FCAB8FD" w14:textId="77777777" w:rsidR="00327EA0" w:rsidRPr="00327EA0" w:rsidRDefault="00327EA0" w:rsidP="00327EA0">
            <w:pPr>
              <w:spacing w:before="60" w:after="60"/>
              <w:jc w:val="right"/>
              <w:rPr>
                <w:sz w:val="20"/>
                <w:szCs w:val="20"/>
              </w:rPr>
            </w:pPr>
            <w:r w:rsidRPr="00327EA0">
              <w:rPr>
                <w:sz w:val="20"/>
                <w:szCs w:val="20"/>
              </w:rPr>
              <w:t>$3,200</w:t>
            </w:r>
          </w:p>
        </w:tc>
        <w:tc>
          <w:tcPr>
            <w:tcW w:w="1221" w:type="dxa"/>
            <w:vAlign w:val="center"/>
          </w:tcPr>
          <w:p w14:paraId="5F278CD6" w14:textId="77777777" w:rsidR="00327EA0" w:rsidRPr="00327EA0" w:rsidRDefault="00327EA0" w:rsidP="00327EA0">
            <w:pPr>
              <w:spacing w:before="60" w:after="60"/>
              <w:jc w:val="right"/>
              <w:rPr>
                <w:sz w:val="20"/>
                <w:szCs w:val="20"/>
              </w:rPr>
            </w:pPr>
            <w:r w:rsidRPr="00327EA0">
              <w:rPr>
                <w:sz w:val="20"/>
                <w:szCs w:val="20"/>
              </w:rPr>
              <w:t>$2,325</w:t>
            </w:r>
          </w:p>
        </w:tc>
        <w:tc>
          <w:tcPr>
            <w:tcW w:w="1336" w:type="dxa"/>
            <w:vAlign w:val="center"/>
          </w:tcPr>
          <w:p w14:paraId="0B52E029" w14:textId="77777777" w:rsidR="00327EA0" w:rsidRPr="00327EA0" w:rsidRDefault="00327EA0" w:rsidP="00327EA0">
            <w:pPr>
              <w:spacing w:before="60" w:after="60"/>
              <w:jc w:val="right"/>
              <w:rPr>
                <w:sz w:val="20"/>
                <w:szCs w:val="20"/>
              </w:rPr>
            </w:pPr>
            <w:r w:rsidRPr="00327EA0">
              <w:rPr>
                <w:sz w:val="20"/>
                <w:szCs w:val="20"/>
              </w:rPr>
              <w:t>$2,000</w:t>
            </w:r>
          </w:p>
        </w:tc>
        <w:tc>
          <w:tcPr>
            <w:tcW w:w="1336" w:type="dxa"/>
            <w:vAlign w:val="center"/>
          </w:tcPr>
          <w:p w14:paraId="056E4663" w14:textId="77777777" w:rsidR="00327EA0" w:rsidRPr="00327EA0" w:rsidRDefault="00327EA0" w:rsidP="00327EA0">
            <w:pPr>
              <w:spacing w:before="60" w:after="60"/>
              <w:jc w:val="right"/>
              <w:rPr>
                <w:sz w:val="20"/>
                <w:szCs w:val="20"/>
              </w:rPr>
            </w:pPr>
            <w:r w:rsidRPr="00327EA0">
              <w:rPr>
                <w:sz w:val="20"/>
                <w:szCs w:val="20"/>
              </w:rPr>
              <w:t>$2,225</w:t>
            </w:r>
          </w:p>
        </w:tc>
        <w:tc>
          <w:tcPr>
            <w:tcW w:w="1336" w:type="dxa"/>
            <w:vAlign w:val="center"/>
          </w:tcPr>
          <w:p w14:paraId="728EEDFF" w14:textId="77777777" w:rsidR="00327EA0" w:rsidRPr="00327EA0" w:rsidRDefault="00327EA0" w:rsidP="00327EA0">
            <w:pPr>
              <w:spacing w:before="60" w:after="60"/>
              <w:jc w:val="right"/>
              <w:rPr>
                <w:sz w:val="20"/>
                <w:szCs w:val="20"/>
              </w:rPr>
            </w:pPr>
            <w:r w:rsidRPr="00327EA0">
              <w:rPr>
                <w:sz w:val="20"/>
                <w:szCs w:val="20"/>
              </w:rPr>
              <w:t>$3,550</w:t>
            </w:r>
          </w:p>
        </w:tc>
        <w:tc>
          <w:tcPr>
            <w:tcW w:w="1336" w:type="dxa"/>
            <w:vAlign w:val="center"/>
          </w:tcPr>
          <w:p w14:paraId="704D4C04" w14:textId="77777777" w:rsidR="00327EA0" w:rsidRPr="00327EA0" w:rsidRDefault="00327EA0" w:rsidP="00327EA0">
            <w:pPr>
              <w:spacing w:before="60" w:after="60"/>
              <w:jc w:val="right"/>
              <w:rPr>
                <w:sz w:val="20"/>
                <w:szCs w:val="20"/>
              </w:rPr>
            </w:pPr>
            <w:r w:rsidRPr="00327EA0">
              <w:rPr>
                <w:sz w:val="20"/>
                <w:szCs w:val="20"/>
              </w:rPr>
              <w:t>$4,050</w:t>
            </w:r>
          </w:p>
        </w:tc>
      </w:tr>
      <w:tr w:rsidR="00327EA0" w:rsidRPr="00327EA0" w14:paraId="4008E955" w14:textId="77777777" w:rsidTr="008B5D08">
        <w:trPr>
          <w:jc w:val="center"/>
        </w:trPr>
        <w:tc>
          <w:tcPr>
            <w:tcW w:w="1795" w:type="dxa"/>
            <w:vAlign w:val="center"/>
          </w:tcPr>
          <w:p w14:paraId="62DBDF55" w14:textId="77777777" w:rsidR="00327EA0" w:rsidRPr="00327EA0" w:rsidRDefault="00327EA0" w:rsidP="00327EA0">
            <w:pPr>
              <w:spacing w:before="60" w:after="60"/>
              <w:rPr>
                <w:sz w:val="20"/>
                <w:szCs w:val="20"/>
              </w:rPr>
            </w:pPr>
            <w:r w:rsidRPr="00327EA0">
              <w:rPr>
                <w:sz w:val="20"/>
                <w:szCs w:val="20"/>
              </w:rPr>
              <w:t>500,001 – 1,200,000</w:t>
            </w:r>
          </w:p>
        </w:tc>
        <w:tc>
          <w:tcPr>
            <w:tcW w:w="990" w:type="dxa"/>
            <w:vAlign w:val="center"/>
          </w:tcPr>
          <w:p w14:paraId="2813A855" w14:textId="77777777" w:rsidR="00327EA0" w:rsidRPr="00327EA0" w:rsidRDefault="00327EA0" w:rsidP="00327EA0">
            <w:pPr>
              <w:spacing w:before="60" w:after="60"/>
              <w:jc w:val="right"/>
              <w:rPr>
                <w:sz w:val="20"/>
                <w:szCs w:val="20"/>
              </w:rPr>
            </w:pPr>
            <w:r w:rsidRPr="00327EA0">
              <w:rPr>
                <w:sz w:val="20"/>
                <w:szCs w:val="20"/>
              </w:rPr>
              <w:t>$4,800</w:t>
            </w:r>
          </w:p>
        </w:tc>
        <w:tc>
          <w:tcPr>
            <w:tcW w:w="1221" w:type="dxa"/>
            <w:vAlign w:val="center"/>
          </w:tcPr>
          <w:p w14:paraId="152D804D" w14:textId="77777777" w:rsidR="00327EA0" w:rsidRPr="00327EA0" w:rsidRDefault="00327EA0" w:rsidP="00327EA0">
            <w:pPr>
              <w:spacing w:before="60" w:after="60"/>
              <w:jc w:val="right"/>
              <w:rPr>
                <w:sz w:val="20"/>
                <w:szCs w:val="20"/>
              </w:rPr>
            </w:pPr>
            <w:r w:rsidRPr="00327EA0">
              <w:rPr>
                <w:sz w:val="20"/>
                <w:szCs w:val="20"/>
              </w:rPr>
              <w:t>$3,475</w:t>
            </w:r>
          </w:p>
        </w:tc>
        <w:tc>
          <w:tcPr>
            <w:tcW w:w="1336" w:type="dxa"/>
            <w:vAlign w:val="center"/>
          </w:tcPr>
          <w:p w14:paraId="0D9FBF06" w14:textId="77777777" w:rsidR="00327EA0" w:rsidRPr="00327EA0" w:rsidRDefault="00327EA0" w:rsidP="00327EA0">
            <w:pPr>
              <w:spacing w:before="60" w:after="60"/>
              <w:jc w:val="right"/>
              <w:rPr>
                <w:sz w:val="20"/>
                <w:szCs w:val="20"/>
              </w:rPr>
            </w:pPr>
            <w:r w:rsidRPr="00327EA0">
              <w:rPr>
                <w:sz w:val="20"/>
                <w:szCs w:val="20"/>
              </w:rPr>
              <w:t>$3,000</w:t>
            </w:r>
          </w:p>
        </w:tc>
        <w:tc>
          <w:tcPr>
            <w:tcW w:w="1336" w:type="dxa"/>
            <w:vAlign w:val="center"/>
          </w:tcPr>
          <w:p w14:paraId="447013BC" w14:textId="77777777" w:rsidR="00327EA0" w:rsidRPr="00327EA0" w:rsidRDefault="00327EA0" w:rsidP="00327EA0">
            <w:pPr>
              <w:spacing w:before="60" w:after="60"/>
              <w:jc w:val="right"/>
              <w:rPr>
                <w:sz w:val="20"/>
                <w:szCs w:val="20"/>
              </w:rPr>
            </w:pPr>
            <w:r w:rsidRPr="00327EA0">
              <w:rPr>
                <w:sz w:val="20"/>
                <w:szCs w:val="20"/>
              </w:rPr>
              <w:t>$3,325</w:t>
            </w:r>
          </w:p>
        </w:tc>
        <w:tc>
          <w:tcPr>
            <w:tcW w:w="1336" w:type="dxa"/>
            <w:vAlign w:val="center"/>
          </w:tcPr>
          <w:p w14:paraId="1AB1E2E0" w14:textId="77777777" w:rsidR="00327EA0" w:rsidRPr="00327EA0" w:rsidRDefault="00327EA0" w:rsidP="00327EA0">
            <w:pPr>
              <w:spacing w:before="60" w:after="60"/>
              <w:jc w:val="right"/>
              <w:rPr>
                <w:sz w:val="20"/>
                <w:szCs w:val="20"/>
              </w:rPr>
            </w:pPr>
            <w:r w:rsidRPr="00327EA0">
              <w:rPr>
                <w:sz w:val="20"/>
                <w:szCs w:val="20"/>
              </w:rPr>
              <w:t>$5,325</w:t>
            </w:r>
          </w:p>
        </w:tc>
        <w:tc>
          <w:tcPr>
            <w:tcW w:w="1336" w:type="dxa"/>
            <w:vAlign w:val="center"/>
          </w:tcPr>
          <w:p w14:paraId="35595B1B" w14:textId="77777777" w:rsidR="00327EA0" w:rsidRPr="00327EA0" w:rsidRDefault="00327EA0" w:rsidP="00327EA0">
            <w:pPr>
              <w:spacing w:before="60" w:after="60"/>
              <w:jc w:val="right"/>
              <w:rPr>
                <w:sz w:val="20"/>
                <w:szCs w:val="20"/>
              </w:rPr>
            </w:pPr>
            <w:r w:rsidRPr="00327EA0">
              <w:rPr>
                <w:sz w:val="20"/>
                <w:szCs w:val="20"/>
              </w:rPr>
              <w:t>$6,075</w:t>
            </w:r>
          </w:p>
        </w:tc>
      </w:tr>
      <w:tr w:rsidR="00327EA0" w:rsidRPr="00327EA0" w14:paraId="11A6DC98" w14:textId="77777777" w:rsidTr="008B5D08">
        <w:trPr>
          <w:jc w:val="center"/>
        </w:trPr>
        <w:tc>
          <w:tcPr>
            <w:tcW w:w="1795" w:type="dxa"/>
            <w:vAlign w:val="center"/>
          </w:tcPr>
          <w:p w14:paraId="30EC4982" w14:textId="77777777" w:rsidR="00327EA0" w:rsidRPr="00327EA0" w:rsidRDefault="00327EA0" w:rsidP="00327EA0">
            <w:pPr>
              <w:spacing w:before="60" w:after="60"/>
              <w:rPr>
                <w:sz w:val="20"/>
                <w:szCs w:val="20"/>
              </w:rPr>
            </w:pPr>
            <w:r w:rsidRPr="00327EA0">
              <w:rPr>
                <w:sz w:val="20"/>
                <w:szCs w:val="20"/>
              </w:rPr>
              <w:t>1,200,001 – 3,000,000</w:t>
            </w:r>
          </w:p>
        </w:tc>
        <w:tc>
          <w:tcPr>
            <w:tcW w:w="990" w:type="dxa"/>
            <w:vAlign w:val="center"/>
          </w:tcPr>
          <w:p w14:paraId="73CCBBB7" w14:textId="77777777" w:rsidR="00327EA0" w:rsidRPr="00327EA0" w:rsidRDefault="00327EA0" w:rsidP="00327EA0">
            <w:pPr>
              <w:spacing w:before="60" w:after="60"/>
              <w:jc w:val="right"/>
              <w:rPr>
                <w:sz w:val="20"/>
                <w:szCs w:val="20"/>
              </w:rPr>
            </w:pPr>
            <w:r w:rsidRPr="00327EA0">
              <w:rPr>
                <w:sz w:val="20"/>
                <w:szCs w:val="20"/>
              </w:rPr>
              <w:t>$7,225</w:t>
            </w:r>
          </w:p>
        </w:tc>
        <w:tc>
          <w:tcPr>
            <w:tcW w:w="1221" w:type="dxa"/>
            <w:vAlign w:val="center"/>
          </w:tcPr>
          <w:p w14:paraId="104A643A" w14:textId="77777777" w:rsidR="00327EA0" w:rsidRPr="00327EA0" w:rsidRDefault="00327EA0" w:rsidP="00327EA0">
            <w:pPr>
              <w:spacing w:before="60" w:after="60"/>
              <w:jc w:val="right"/>
              <w:rPr>
                <w:sz w:val="20"/>
                <w:szCs w:val="20"/>
              </w:rPr>
            </w:pPr>
            <w:r w:rsidRPr="00327EA0">
              <w:rPr>
                <w:sz w:val="20"/>
                <w:szCs w:val="20"/>
              </w:rPr>
              <w:t>$5,200</w:t>
            </w:r>
          </w:p>
        </w:tc>
        <w:tc>
          <w:tcPr>
            <w:tcW w:w="1336" w:type="dxa"/>
            <w:vAlign w:val="center"/>
          </w:tcPr>
          <w:p w14:paraId="10F3CB95" w14:textId="77777777" w:rsidR="00327EA0" w:rsidRPr="00327EA0" w:rsidRDefault="00327EA0" w:rsidP="00327EA0">
            <w:pPr>
              <w:spacing w:before="60" w:after="60"/>
              <w:jc w:val="right"/>
              <w:rPr>
                <w:sz w:val="20"/>
                <w:szCs w:val="20"/>
              </w:rPr>
            </w:pPr>
            <w:r w:rsidRPr="00327EA0">
              <w:rPr>
                <w:sz w:val="20"/>
                <w:szCs w:val="20"/>
              </w:rPr>
              <w:t>$4,525</w:t>
            </w:r>
          </w:p>
        </w:tc>
        <w:tc>
          <w:tcPr>
            <w:tcW w:w="1336" w:type="dxa"/>
            <w:vAlign w:val="center"/>
          </w:tcPr>
          <w:p w14:paraId="73D5C3AE" w14:textId="77777777" w:rsidR="00327EA0" w:rsidRPr="00327EA0" w:rsidRDefault="00327EA0" w:rsidP="00327EA0">
            <w:pPr>
              <w:spacing w:before="60" w:after="60"/>
              <w:jc w:val="right"/>
              <w:rPr>
                <w:sz w:val="20"/>
                <w:szCs w:val="20"/>
              </w:rPr>
            </w:pPr>
            <w:r w:rsidRPr="00327EA0">
              <w:rPr>
                <w:sz w:val="20"/>
                <w:szCs w:val="20"/>
              </w:rPr>
              <w:t>$4,975</w:t>
            </w:r>
          </w:p>
        </w:tc>
        <w:tc>
          <w:tcPr>
            <w:tcW w:w="1336" w:type="dxa"/>
            <w:vAlign w:val="center"/>
          </w:tcPr>
          <w:p w14:paraId="6AC0DF06" w14:textId="77777777" w:rsidR="00327EA0" w:rsidRPr="00327EA0" w:rsidRDefault="00327EA0" w:rsidP="00327EA0">
            <w:pPr>
              <w:spacing w:before="60" w:after="60"/>
              <w:jc w:val="right"/>
              <w:rPr>
                <w:sz w:val="20"/>
                <w:szCs w:val="20"/>
              </w:rPr>
            </w:pPr>
            <w:r w:rsidRPr="00327EA0">
              <w:rPr>
                <w:sz w:val="20"/>
                <w:szCs w:val="20"/>
              </w:rPr>
              <w:t>$7,975</w:t>
            </w:r>
          </w:p>
        </w:tc>
        <w:tc>
          <w:tcPr>
            <w:tcW w:w="1336" w:type="dxa"/>
            <w:vAlign w:val="center"/>
          </w:tcPr>
          <w:p w14:paraId="0438C9EB" w14:textId="77777777" w:rsidR="00327EA0" w:rsidRPr="00327EA0" w:rsidRDefault="00327EA0" w:rsidP="00327EA0">
            <w:pPr>
              <w:spacing w:before="60" w:after="60"/>
              <w:jc w:val="right"/>
              <w:rPr>
                <w:sz w:val="20"/>
                <w:szCs w:val="20"/>
              </w:rPr>
            </w:pPr>
            <w:r w:rsidRPr="00327EA0">
              <w:rPr>
                <w:sz w:val="20"/>
                <w:szCs w:val="20"/>
              </w:rPr>
              <w:t>$9,125</w:t>
            </w:r>
          </w:p>
        </w:tc>
      </w:tr>
      <w:tr w:rsidR="00327EA0" w:rsidRPr="00327EA0" w14:paraId="1D35D93A" w14:textId="77777777" w:rsidTr="008B5D08">
        <w:trPr>
          <w:jc w:val="center"/>
        </w:trPr>
        <w:tc>
          <w:tcPr>
            <w:tcW w:w="1795" w:type="dxa"/>
            <w:vAlign w:val="center"/>
          </w:tcPr>
          <w:p w14:paraId="49696ABE" w14:textId="77777777" w:rsidR="00327EA0" w:rsidRPr="00327EA0" w:rsidRDefault="00327EA0" w:rsidP="00327EA0">
            <w:pPr>
              <w:spacing w:before="60" w:after="60"/>
              <w:rPr>
                <w:sz w:val="20"/>
                <w:szCs w:val="20"/>
              </w:rPr>
            </w:pPr>
            <w:r w:rsidRPr="00327EA0">
              <w:rPr>
                <w:sz w:val="20"/>
                <w:szCs w:val="20"/>
              </w:rPr>
              <w:t>3,000,001 – 6,000,000</w:t>
            </w:r>
          </w:p>
        </w:tc>
        <w:tc>
          <w:tcPr>
            <w:tcW w:w="990" w:type="dxa"/>
            <w:vAlign w:val="center"/>
          </w:tcPr>
          <w:p w14:paraId="6C30C55A" w14:textId="77777777" w:rsidR="00327EA0" w:rsidRPr="00327EA0" w:rsidRDefault="00327EA0" w:rsidP="00327EA0">
            <w:pPr>
              <w:spacing w:before="60" w:after="60"/>
              <w:jc w:val="right"/>
              <w:rPr>
                <w:sz w:val="20"/>
                <w:szCs w:val="20"/>
              </w:rPr>
            </w:pPr>
            <w:r w:rsidRPr="00327EA0">
              <w:rPr>
                <w:sz w:val="20"/>
                <w:szCs w:val="20"/>
              </w:rPr>
              <w:t>$10,825</w:t>
            </w:r>
          </w:p>
        </w:tc>
        <w:tc>
          <w:tcPr>
            <w:tcW w:w="1221" w:type="dxa"/>
            <w:vAlign w:val="center"/>
          </w:tcPr>
          <w:p w14:paraId="260FEEBB" w14:textId="77777777" w:rsidR="00327EA0" w:rsidRPr="00327EA0" w:rsidRDefault="00327EA0" w:rsidP="00327EA0">
            <w:pPr>
              <w:spacing w:before="60" w:after="60"/>
              <w:jc w:val="right"/>
              <w:rPr>
                <w:sz w:val="20"/>
                <w:szCs w:val="20"/>
              </w:rPr>
            </w:pPr>
            <w:r w:rsidRPr="00327EA0">
              <w:rPr>
                <w:sz w:val="20"/>
                <w:szCs w:val="20"/>
              </w:rPr>
              <w:t>$7,800</w:t>
            </w:r>
          </w:p>
        </w:tc>
        <w:tc>
          <w:tcPr>
            <w:tcW w:w="1336" w:type="dxa"/>
            <w:vAlign w:val="center"/>
          </w:tcPr>
          <w:p w14:paraId="4C46381A" w14:textId="77777777" w:rsidR="00327EA0" w:rsidRPr="00327EA0" w:rsidRDefault="00327EA0" w:rsidP="00327EA0">
            <w:pPr>
              <w:spacing w:before="60" w:after="60"/>
              <w:jc w:val="right"/>
              <w:rPr>
                <w:sz w:val="20"/>
                <w:szCs w:val="20"/>
              </w:rPr>
            </w:pPr>
            <w:r w:rsidRPr="00327EA0">
              <w:rPr>
                <w:sz w:val="20"/>
                <w:szCs w:val="20"/>
              </w:rPr>
              <w:t>$6,775</w:t>
            </w:r>
          </w:p>
        </w:tc>
        <w:tc>
          <w:tcPr>
            <w:tcW w:w="1336" w:type="dxa"/>
            <w:vAlign w:val="center"/>
          </w:tcPr>
          <w:p w14:paraId="3CE311D1" w14:textId="77777777" w:rsidR="00327EA0" w:rsidRPr="00327EA0" w:rsidRDefault="00327EA0" w:rsidP="00327EA0">
            <w:pPr>
              <w:spacing w:before="60" w:after="60"/>
              <w:jc w:val="right"/>
              <w:rPr>
                <w:sz w:val="20"/>
                <w:szCs w:val="20"/>
              </w:rPr>
            </w:pPr>
            <w:r w:rsidRPr="00327EA0">
              <w:rPr>
                <w:sz w:val="20"/>
                <w:szCs w:val="20"/>
              </w:rPr>
              <w:t>$7,450</w:t>
            </w:r>
          </w:p>
        </w:tc>
        <w:tc>
          <w:tcPr>
            <w:tcW w:w="1336" w:type="dxa"/>
            <w:vAlign w:val="center"/>
          </w:tcPr>
          <w:p w14:paraId="6E2F46A1" w14:textId="77777777" w:rsidR="00327EA0" w:rsidRPr="00327EA0" w:rsidRDefault="00327EA0" w:rsidP="00327EA0">
            <w:pPr>
              <w:spacing w:before="60" w:after="60"/>
              <w:jc w:val="right"/>
              <w:rPr>
                <w:sz w:val="20"/>
                <w:szCs w:val="20"/>
              </w:rPr>
            </w:pPr>
            <w:r w:rsidRPr="00327EA0">
              <w:rPr>
                <w:sz w:val="20"/>
                <w:szCs w:val="20"/>
              </w:rPr>
              <w:t>$11,950</w:t>
            </w:r>
          </w:p>
        </w:tc>
        <w:tc>
          <w:tcPr>
            <w:tcW w:w="1336" w:type="dxa"/>
            <w:vAlign w:val="center"/>
          </w:tcPr>
          <w:p w14:paraId="26B5882C" w14:textId="77777777" w:rsidR="00327EA0" w:rsidRPr="00327EA0" w:rsidRDefault="00327EA0" w:rsidP="00327EA0">
            <w:pPr>
              <w:spacing w:before="60" w:after="60"/>
              <w:jc w:val="right"/>
              <w:rPr>
                <w:sz w:val="20"/>
                <w:szCs w:val="20"/>
              </w:rPr>
            </w:pPr>
            <w:r w:rsidRPr="00327EA0">
              <w:rPr>
                <w:sz w:val="20"/>
                <w:szCs w:val="20"/>
              </w:rPr>
              <w:t>$13,675</w:t>
            </w:r>
          </w:p>
        </w:tc>
      </w:tr>
      <w:tr w:rsidR="00327EA0" w:rsidRPr="00327EA0" w14:paraId="41269BBE" w14:textId="77777777" w:rsidTr="008B5D08">
        <w:trPr>
          <w:jc w:val="center"/>
        </w:trPr>
        <w:tc>
          <w:tcPr>
            <w:tcW w:w="1795" w:type="dxa"/>
            <w:vAlign w:val="center"/>
          </w:tcPr>
          <w:p w14:paraId="35DB465C" w14:textId="77777777" w:rsidR="00327EA0" w:rsidRPr="00327EA0" w:rsidRDefault="00327EA0" w:rsidP="00327EA0">
            <w:pPr>
              <w:spacing w:before="60" w:after="60"/>
              <w:rPr>
                <w:sz w:val="20"/>
                <w:szCs w:val="20"/>
              </w:rPr>
            </w:pPr>
            <w:r w:rsidRPr="00327EA0">
              <w:rPr>
                <w:sz w:val="20"/>
                <w:szCs w:val="20"/>
              </w:rPr>
              <w:t xml:space="preserve">&gt; 6,000,000 </w:t>
            </w:r>
          </w:p>
        </w:tc>
        <w:tc>
          <w:tcPr>
            <w:tcW w:w="990" w:type="dxa"/>
            <w:vAlign w:val="center"/>
          </w:tcPr>
          <w:p w14:paraId="38270B6B" w14:textId="77777777" w:rsidR="00327EA0" w:rsidRPr="00327EA0" w:rsidRDefault="00327EA0" w:rsidP="00327EA0">
            <w:pPr>
              <w:spacing w:before="60" w:after="60"/>
              <w:jc w:val="right"/>
              <w:rPr>
                <w:sz w:val="20"/>
                <w:szCs w:val="20"/>
              </w:rPr>
            </w:pPr>
            <w:r w:rsidRPr="00327EA0">
              <w:rPr>
                <w:sz w:val="20"/>
                <w:szCs w:val="20"/>
              </w:rPr>
              <w:t>$16,225</w:t>
            </w:r>
          </w:p>
        </w:tc>
        <w:tc>
          <w:tcPr>
            <w:tcW w:w="1221" w:type="dxa"/>
            <w:vAlign w:val="center"/>
          </w:tcPr>
          <w:p w14:paraId="4CEDD319" w14:textId="77777777" w:rsidR="00327EA0" w:rsidRPr="00327EA0" w:rsidRDefault="00327EA0" w:rsidP="00327EA0">
            <w:pPr>
              <w:spacing w:before="60" w:after="60"/>
              <w:jc w:val="right"/>
              <w:rPr>
                <w:sz w:val="20"/>
                <w:szCs w:val="20"/>
              </w:rPr>
            </w:pPr>
            <w:r w:rsidRPr="00327EA0">
              <w:rPr>
                <w:sz w:val="20"/>
                <w:szCs w:val="20"/>
              </w:rPr>
              <w:t>$11,700</w:t>
            </w:r>
          </w:p>
        </w:tc>
        <w:tc>
          <w:tcPr>
            <w:tcW w:w="1336" w:type="dxa"/>
            <w:vAlign w:val="center"/>
          </w:tcPr>
          <w:p w14:paraId="5AC84E02" w14:textId="77777777" w:rsidR="00327EA0" w:rsidRPr="00327EA0" w:rsidRDefault="00327EA0" w:rsidP="00327EA0">
            <w:pPr>
              <w:spacing w:before="60" w:after="60"/>
              <w:jc w:val="right"/>
              <w:rPr>
                <w:sz w:val="20"/>
                <w:szCs w:val="20"/>
              </w:rPr>
            </w:pPr>
            <w:r w:rsidRPr="00327EA0">
              <w:rPr>
                <w:sz w:val="20"/>
                <w:szCs w:val="20"/>
              </w:rPr>
              <w:t>$10,175</w:t>
            </w:r>
          </w:p>
        </w:tc>
        <w:tc>
          <w:tcPr>
            <w:tcW w:w="1336" w:type="dxa"/>
            <w:vAlign w:val="center"/>
          </w:tcPr>
          <w:p w14:paraId="51657A18" w14:textId="77777777" w:rsidR="00327EA0" w:rsidRPr="00327EA0" w:rsidRDefault="00327EA0" w:rsidP="00327EA0">
            <w:pPr>
              <w:spacing w:before="60" w:after="60"/>
              <w:jc w:val="right"/>
              <w:rPr>
                <w:sz w:val="20"/>
                <w:szCs w:val="20"/>
              </w:rPr>
            </w:pPr>
            <w:r w:rsidRPr="00327EA0">
              <w:rPr>
                <w:sz w:val="20"/>
                <w:szCs w:val="20"/>
              </w:rPr>
              <w:t>$11,200</w:t>
            </w:r>
          </w:p>
        </w:tc>
        <w:tc>
          <w:tcPr>
            <w:tcW w:w="1336" w:type="dxa"/>
            <w:vAlign w:val="center"/>
          </w:tcPr>
          <w:p w14:paraId="3D09BC9E" w14:textId="77777777" w:rsidR="00327EA0" w:rsidRPr="00327EA0" w:rsidRDefault="00327EA0" w:rsidP="00327EA0">
            <w:pPr>
              <w:spacing w:before="60" w:after="60"/>
              <w:jc w:val="right"/>
              <w:rPr>
                <w:sz w:val="20"/>
                <w:szCs w:val="20"/>
              </w:rPr>
            </w:pPr>
            <w:r w:rsidRPr="00327EA0">
              <w:rPr>
                <w:sz w:val="20"/>
                <w:szCs w:val="20"/>
              </w:rPr>
              <w:t>$17,950</w:t>
            </w:r>
          </w:p>
        </w:tc>
        <w:tc>
          <w:tcPr>
            <w:tcW w:w="1336" w:type="dxa"/>
            <w:vAlign w:val="center"/>
          </w:tcPr>
          <w:p w14:paraId="3995C155" w14:textId="77777777" w:rsidR="00327EA0" w:rsidRPr="00327EA0" w:rsidRDefault="00327EA0" w:rsidP="00327EA0">
            <w:pPr>
              <w:spacing w:before="60" w:after="60"/>
              <w:jc w:val="right"/>
              <w:rPr>
                <w:sz w:val="20"/>
                <w:szCs w:val="20"/>
              </w:rPr>
            </w:pPr>
            <w:r w:rsidRPr="00327EA0">
              <w:rPr>
                <w:sz w:val="20"/>
                <w:szCs w:val="20"/>
              </w:rPr>
              <w:t>$20,500</w:t>
            </w:r>
          </w:p>
        </w:tc>
      </w:tr>
    </w:tbl>
    <w:p w14:paraId="013194E7" w14:textId="77777777" w:rsidR="00327EA0" w:rsidRPr="00327EA0" w:rsidRDefault="00327EA0" w:rsidP="00327EA0"/>
    <w:p w14:paraId="655DDAC6" w14:textId="77777777" w:rsidR="00327EA0" w:rsidRPr="00327EA0" w:rsidRDefault="00327EA0" w:rsidP="00327EA0"/>
    <w:p w14:paraId="35782BEF" w14:textId="77777777" w:rsidR="00A73820" w:rsidRDefault="00327EA0" w:rsidP="00A73820">
      <w:pPr>
        <w:keepNext/>
        <w:keepLines/>
        <w:spacing w:after="0"/>
        <w:jc w:val="center"/>
        <w:outlineLvl w:val="1"/>
        <w:rPr>
          <w:b/>
          <w:sz w:val="28"/>
          <w:u w:val="single"/>
        </w:rPr>
      </w:pPr>
      <w:r w:rsidRPr="00327EA0">
        <w:rPr>
          <w:b/>
          <w:sz w:val="28"/>
          <w:u w:val="single"/>
        </w:rPr>
        <w:br w:type="page"/>
      </w:r>
    </w:p>
    <w:p w14:paraId="669BB3D4" w14:textId="77777777" w:rsidR="00A73820" w:rsidRDefault="00A73820" w:rsidP="00A73820">
      <w:pPr>
        <w:keepNext/>
        <w:keepLines/>
        <w:spacing w:after="0"/>
        <w:jc w:val="center"/>
        <w:outlineLvl w:val="1"/>
        <w:rPr>
          <w:b/>
          <w:sz w:val="28"/>
          <w:u w:val="single"/>
        </w:rPr>
      </w:pPr>
    </w:p>
    <w:p w14:paraId="1329164D" w14:textId="77777777" w:rsidR="00A73820" w:rsidRDefault="00A73820" w:rsidP="00A73820">
      <w:pPr>
        <w:keepNext/>
        <w:keepLines/>
        <w:spacing w:after="0"/>
        <w:jc w:val="center"/>
        <w:outlineLvl w:val="1"/>
        <w:rPr>
          <w:b/>
          <w:sz w:val="28"/>
          <w:u w:val="single"/>
        </w:rPr>
      </w:pPr>
    </w:p>
    <w:p w14:paraId="216556C0" w14:textId="77777777" w:rsidR="00A73820" w:rsidRDefault="00A73820" w:rsidP="00A73820">
      <w:pPr>
        <w:keepNext/>
        <w:keepLines/>
        <w:spacing w:after="0"/>
        <w:jc w:val="center"/>
        <w:outlineLvl w:val="1"/>
        <w:rPr>
          <w:b/>
          <w:sz w:val="28"/>
          <w:u w:val="single"/>
        </w:rPr>
      </w:pPr>
    </w:p>
    <w:p w14:paraId="3E06608B" w14:textId="77777777" w:rsidR="00A73820" w:rsidRDefault="00A73820" w:rsidP="00A73820">
      <w:pPr>
        <w:keepNext/>
        <w:keepLines/>
        <w:spacing w:after="0"/>
        <w:jc w:val="center"/>
        <w:outlineLvl w:val="1"/>
        <w:rPr>
          <w:b/>
          <w:sz w:val="28"/>
          <w:u w:val="single"/>
        </w:rPr>
      </w:pPr>
    </w:p>
    <w:p w14:paraId="5B49CEEE" w14:textId="77777777" w:rsidR="00A73820" w:rsidRDefault="00A73820" w:rsidP="00A73820">
      <w:pPr>
        <w:keepNext/>
        <w:keepLines/>
        <w:spacing w:after="0"/>
        <w:jc w:val="center"/>
        <w:outlineLvl w:val="1"/>
        <w:rPr>
          <w:b/>
          <w:sz w:val="28"/>
          <w:u w:val="single"/>
        </w:rPr>
      </w:pPr>
    </w:p>
    <w:p w14:paraId="13771960" w14:textId="77777777" w:rsidR="00A73820" w:rsidRDefault="00A73820" w:rsidP="00A73820">
      <w:pPr>
        <w:keepNext/>
        <w:keepLines/>
        <w:spacing w:after="0"/>
        <w:jc w:val="center"/>
        <w:outlineLvl w:val="1"/>
        <w:rPr>
          <w:b/>
          <w:sz w:val="28"/>
          <w:u w:val="single"/>
        </w:rPr>
      </w:pPr>
    </w:p>
    <w:p w14:paraId="63D280BA" w14:textId="77777777" w:rsidR="00A73820" w:rsidRDefault="00A73820" w:rsidP="00A73820">
      <w:pPr>
        <w:keepNext/>
        <w:keepLines/>
        <w:spacing w:after="0"/>
        <w:jc w:val="center"/>
        <w:outlineLvl w:val="1"/>
        <w:rPr>
          <w:b/>
          <w:sz w:val="28"/>
          <w:u w:val="single"/>
        </w:rPr>
      </w:pPr>
    </w:p>
    <w:bookmarkStart w:id="50" w:name="SchedB"/>
    <w:p w14:paraId="507D744A" w14:textId="01237E35" w:rsidR="00A73820" w:rsidRDefault="00A73820" w:rsidP="00A73820">
      <w:pPr>
        <w:keepNext/>
        <w:keepLines/>
        <w:spacing w:after="0"/>
        <w:jc w:val="center"/>
        <w:outlineLvl w:val="1"/>
        <w:rPr>
          <w:rFonts w:asciiTheme="majorHAnsi" w:eastAsiaTheme="majorEastAsia" w:hAnsiTheme="majorHAnsi" w:cstheme="majorBidi"/>
          <w:b/>
          <w:color w:val="2E74B5" w:themeColor="accent1" w:themeShade="BF"/>
          <w:sz w:val="28"/>
          <w:szCs w:val="26"/>
          <w:u w:val="single"/>
        </w:rPr>
      </w:pPr>
      <w:r>
        <w:rPr>
          <w:rFonts w:asciiTheme="majorHAnsi" w:eastAsiaTheme="majorEastAsia" w:hAnsiTheme="majorHAnsi" w:cstheme="majorBidi"/>
          <w:b/>
          <w:color w:val="2E74B5" w:themeColor="accent1" w:themeShade="BF"/>
          <w:sz w:val="28"/>
          <w:szCs w:val="26"/>
          <w:u w:val="single"/>
        </w:rPr>
        <w:fldChar w:fldCharType="begin"/>
      </w:r>
      <w:r>
        <w:rPr>
          <w:rFonts w:asciiTheme="majorHAnsi" w:eastAsiaTheme="majorEastAsia" w:hAnsiTheme="majorHAnsi" w:cstheme="majorBidi"/>
          <w:b/>
          <w:color w:val="2E74B5" w:themeColor="accent1" w:themeShade="BF"/>
          <w:sz w:val="28"/>
          <w:szCs w:val="26"/>
          <w:u w:val="single"/>
        </w:rPr>
        <w:instrText xml:space="preserve"> HYPERLINK  \l "SchedB" </w:instrText>
      </w:r>
      <w:r>
        <w:rPr>
          <w:rFonts w:asciiTheme="majorHAnsi" w:eastAsiaTheme="majorEastAsia" w:hAnsiTheme="majorHAnsi" w:cstheme="majorBidi"/>
          <w:b/>
          <w:color w:val="2E74B5" w:themeColor="accent1" w:themeShade="BF"/>
          <w:sz w:val="28"/>
          <w:szCs w:val="26"/>
          <w:u w:val="single"/>
        </w:rPr>
        <w:fldChar w:fldCharType="separate"/>
      </w:r>
      <w:r w:rsidRPr="00A73820">
        <w:rPr>
          <w:rStyle w:val="Hyperlink"/>
          <w:rFonts w:asciiTheme="majorHAnsi" w:eastAsiaTheme="majorEastAsia" w:hAnsiTheme="majorHAnsi" w:cstheme="majorBidi"/>
          <w:b/>
          <w:sz w:val="28"/>
          <w:szCs w:val="26"/>
        </w:rPr>
        <w:t>Schedule B</w:t>
      </w:r>
      <w:r>
        <w:rPr>
          <w:rFonts w:asciiTheme="majorHAnsi" w:eastAsiaTheme="majorEastAsia" w:hAnsiTheme="majorHAnsi" w:cstheme="majorBidi"/>
          <w:b/>
          <w:color w:val="2E74B5" w:themeColor="accent1" w:themeShade="BF"/>
          <w:sz w:val="28"/>
          <w:szCs w:val="26"/>
          <w:u w:val="single"/>
        </w:rPr>
        <w:fldChar w:fldCharType="end"/>
      </w:r>
    </w:p>
    <w:p w14:paraId="49AD669C" w14:textId="49AE6367" w:rsidR="00FB42F2" w:rsidRDefault="00FB42F2" w:rsidP="00A73820">
      <w:pPr>
        <w:keepNext/>
        <w:keepLines/>
        <w:spacing w:after="0"/>
        <w:jc w:val="center"/>
        <w:outlineLvl w:val="1"/>
        <w:rPr>
          <w:rFonts w:asciiTheme="majorHAnsi" w:eastAsiaTheme="majorEastAsia" w:hAnsiTheme="majorHAnsi" w:cstheme="majorBidi"/>
          <w:b/>
          <w:color w:val="2E74B5" w:themeColor="accent1" w:themeShade="BF"/>
          <w:sz w:val="28"/>
          <w:szCs w:val="26"/>
          <w:u w:val="single"/>
        </w:rPr>
      </w:pPr>
    </w:p>
    <w:p w14:paraId="42284640" w14:textId="067BCB6D" w:rsidR="00FB42F2" w:rsidRPr="00FB42F2" w:rsidRDefault="00FB42F2" w:rsidP="00A73820">
      <w:pPr>
        <w:keepNext/>
        <w:keepLines/>
        <w:spacing w:after="0"/>
        <w:jc w:val="center"/>
        <w:outlineLvl w:val="1"/>
        <w:rPr>
          <w:rFonts w:asciiTheme="majorHAnsi" w:eastAsiaTheme="majorEastAsia" w:hAnsiTheme="majorHAnsi" w:cstheme="majorBidi"/>
          <w:b/>
          <w:sz w:val="28"/>
          <w:szCs w:val="26"/>
        </w:rPr>
      </w:pPr>
      <w:r>
        <w:rPr>
          <w:rFonts w:asciiTheme="majorHAnsi" w:eastAsiaTheme="majorEastAsia" w:hAnsiTheme="majorHAnsi" w:cstheme="majorBidi"/>
          <w:b/>
          <w:sz w:val="28"/>
          <w:szCs w:val="26"/>
        </w:rPr>
        <w:t>(Attached as Separate PDF)</w:t>
      </w:r>
    </w:p>
    <w:bookmarkEnd w:id="50"/>
    <w:p w14:paraId="5C9EB7EB" w14:textId="335ABE0A" w:rsidR="00A73820" w:rsidRDefault="00A73820" w:rsidP="00FB42F2">
      <w:pPr>
        <w:spacing w:after="160" w:line="259" w:lineRule="auto"/>
        <w:jc w:val="center"/>
        <w:rPr>
          <w:b/>
          <w:sz w:val="28"/>
          <w:u w:val="single"/>
        </w:rPr>
      </w:pPr>
      <w:r>
        <w:rPr>
          <w:b/>
          <w:sz w:val="28"/>
          <w:u w:val="single"/>
        </w:rPr>
        <w:br w:type="page"/>
      </w:r>
    </w:p>
    <w:p w14:paraId="3B395848" w14:textId="77777777" w:rsidR="00327EA0" w:rsidRPr="00327EA0" w:rsidRDefault="00327EA0" w:rsidP="00327EA0">
      <w:pPr>
        <w:spacing w:after="160" w:line="259" w:lineRule="auto"/>
        <w:rPr>
          <w:rFonts w:asciiTheme="majorHAnsi" w:eastAsiaTheme="majorEastAsia" w:hAnsiTheme="majorHAnsi" w:cstheme="majorBidi"/>
          <w:b/>
          <w:color w:val="2E74B5" w:themeColor="accent1" w:themeShade="BF"/>
          <w:sz w:val="28"/>
          <w:szCs w:val="26"/>
          <w:u w:val="single"/>
        </w:rPr>
      </w:pPr>
    </w:p>
    <w:p w14:paraId="4AC1604A" w14:textId="1E2EF423" w:rsidR="00327EA0" w:rsidRPr="00327EA0" w:rsidRDefault="00327EA0" w:rsidP="00327EA0">
      <w:pPr>
        <w:keepNext/>
        <w:keepLines/>
        <w:spacing w:after="0"/>
        <w:jc w:val="center"/>
        <w:outlineLvl w:val="1"/>
        <w:rPr>
          <w:rFonts w:asciiTheme="majorHAnsi" w:eastAsiaTheme="majorEastAsia" w:hAnsiTheme="majorHAnsi" w:cstheme="majorBidi"/>
          <w:b/>
          <w:color w:val="2E74B5" w:themeColor="accent1" w:themeShade="BF"/>
          <w:sz w:val="28"/>
          <w:szCs w:val="26"/>
          <w:u w:val="single"/>
        </w:rPr>
      </w:pPr>
      <w:bookmarkStart w:id="51" w:name="_Schedule_B"/>
      <w:bookmarkStart w:id="52" w:name="SchedC"/>
      <w:bookmarkEnd w:id="51"/>
      <w:r w:rsidRPr="00327EA0">
        <w:rPr>
          <w:rFonts w:asciiTheme="majorHAnsi" w:eastAsiaTheme="majorEastAsia" w:hAnsiTheme="majorHAnsi" w:cstheme="majorBidi"/>
          <w:b/>
          <w:color w:val="2E74B5" w:themeColor="accent1" w:themeShade="BF"/>
          <w:sz w:val="28"/>
          <w:szCs w:val="26"/>
          <w:u w:val="single"/>
        </w:rPr>
        <w:t>Schedule</w:t>
      </w:r>
      <w:r w:rsidR="00A73820">
        <w:rPr>
          <w:rFonts w:asciiTheme="majorHAnsi" w:eastAsiaTheme="majorEastAsia" w:hAnsiTheme="majorHAnsi" w:cstheme="majorBidi"/>
          <w:b/>
          <w:color w:val="2E74B5" w:themeColor="accent1" w:themeShade="BF"/>
          <w:sz w:val="28"/>
          <w:szCs w:val="26"/>
          <w:u w:val="single"/>
        </w:rPr>
        <w:t xml:space="preserve"> C</w:t>
      </w:r>
    </w:p>
    <w:bookmarkEnd w:id="52"/>
    <w:p w14:paraId="7797E087" w14:textId="77777777" w:rsidR="00327EA0" w:rsidRPr="00327EA0" w:rsidRDefault="00327EA0" w:rsidP="00327EA0">
      <w:pPr>
        <w:spacing w:after="0"/>
      </w:pPr>
    </w:p>
    <w:tbl>
      <w:tblPr>
        <w:tblStyle w:val="TableGrid1"/>
        <w:tblW w:w="0" w:type="auto"/>
        <w:tblLook w:val="04A0" w:firstRow="1" w:lastRow="0" w:firstColumn="1" w:lastColumn="0" w:noHBand="0" w:noVBand="1"/>
      </w:tblPr>
      <w:tblGrid>
        <w:gridCol w:w="5305"/>
        <w:gridCol w:w="1800"/>
        <w:gridCol w:w="2245"/>
      </w:tblGrid>
      <w:tr w:rsidR="00327EA0" w:rsidRPr="00327EA0" w14:paraId="0C304A23" w14:textId="77777777" w:rsidTr="008B5D08">
        <w:tc>
          <w:tcPr>
            <w:tcW w:w="9350" w:type="dxa"/>
            <w:gridSpan w:val="3"/>
            <w:shd w:val="clear" w:color="auto" w:fill="DEEAF6" w:themeFill="accent1" w:themeFillTint="33"/>
            <w:vAlign w:val="center"/>
          </w:tcPr>
          <w:p w14:paraId="188D9F98" w14:textId="77777777" w:rsidR="00327EA0" w:rsidRPr="00327EA0" w:rsidRDefault="00327EA0" w:rsidP="00327EA0">
            <w:pPr>
              <w:spacing w:before="60" w:after="60"/>
              <w:jc w:val="center"/>
              <w:rPr>
                <w:b/>
                <w:sz w:val="20"/>
                <w:szCs w:val="20"/>
              </w:rPr>
            </w:pPr>
            <w:r w:rsidRPr="00327EA0">
              <w:rPr>
                <w:b/>
                <w:sz w:val="20"/>
                <w:szCs w:val="20"/>
              </w:rPr>
              <w:t>OTHER REGULATORY FEES OF INTEREST TO BROADCASTERS</w:t>
            </w:r>
          </w:p>
        </w:tc>
      </w:tr>
      <w:tr w:rsidR="00327EA0" w:rsidRPr="00327EA0" w14:paraId="0814F246" w14:textId="77777777" w:rsidTr="008B5D08">
        <w:tc>
          <w:tcPr>
            <w:tcW w:w="5305" w:type="dxa"/>
            <w:vAlign w:val="center"/>
          </w:tcPr>
          <w:p w14:paraId="3398D1DE" w14:textId="77777777" w:rsidR="00327EA0" w:rsidRPr="00327EA0" w:rsidRDefault="00327EA0" w:rsidP="00327EA0">
            <w:pPr>
              <w:spacing w:before="60" w:after="60"/>
              <w:jc w:val="center"/>
              <w:rPr>
                <w:sz w:val="20"/>
                <w:szCs w:val="20"/>
              </w:rPr>
            </w:pPr>
            <w:r w:rsidRPr="00327EA0">
              <w:rPr>
                <w:sz w:val="20"/>
                <w:szCs w:val="20"/>
              </w:rPr>
              <w:t>Fee Category</w:t>
            </w:r>
          </w:p>
        </w:tc>
        <w:tc>
          <w:tcPr>
            <w:tcW w:w="1800" w:type="dxa"/>
            <w:vAlign w:val="center"/>
          </w:tcPr>
          <w:p w14:paraId="08B8117C" w14:textId="00BD63BD" w:rsidR="00327EA0" w:rsidRPr="00327EA0" w:rsidRDefault="00D62696" w:rsidP="00327EA0">
            <w:pPr>
              <w:spacing w:before="60" w:after="60"/>
              <w:jc w:val="center"/>
              <w:rPr>
                <w:sz w:val="20"/>
                <w:szCs w:val="20"/>
              </w:rPr>
            </w:pPr>
            <w:r>
              <w:rPr>
                <w:sz w:val="20"/>
                <w:szCs w:val="20"/>
              </w:rPr>
              <w:t>FY 2020</w:t>
            </w:r>
            <w:r w:rsidR="00327EA0" w:rsidRPr="00327EA0">
              <w:rPr>
                <w:sz w:val="20"/>
                <w:szCs w:val="20"/>
              </w:rPr>
              <w:t xml:space="preserve"> </w:t>
            </w:r>
          </w:p>
        </w:tc>
        <w:tc>
          <w:tcPr>
            <w:tcW w:w="2245" w:type="dxa"/>
            <w:vAlign w:val="center"/>
          </w:tcPr>
          <w:p w14:paraId="188381BD" w14:textId="0D10F1D6" w:rsidR="00327EA0" w:rsidRPr="00327EA0" w:rsidRDefault="00327EA0" w:rsidP="00327EA0">
            <w:pPr>
              <w:spacing w:before="60" w:after="60"/>
              <w:jc w:val="center"/>
              <w:rPr>
                <w:sz w:val="20"/>
                <w:szCs w:val="20"/>
              </w:rPr>
            </w:pPr>
            <w:r w:rsidRPr="00327EA0">
              <w:rPr>
                <w:sz w:val="20"/>
                <w:szCs w:val="20"/>
              </w:rPr>
              <w:t xml:space="preserve">FY 2019 </w:t>
            </w:r>
          </w:p>
        </w:tc>
      </w:tr>
      <w:tr w:rsidR="00327EA0" w:rsidRPr="00327EA0" w14:paraId="198EC3D0" w14:textId="77777777" w:rsidTr="008B5D08">
        <w:tc>
          <w:tcPr>
            <w:tcW w:w="5305" w:type="dxa"/>
            <w:vAlign w:val="center"/>
          </w:tcPr>
          <w:p w14:paraId="269F2D44" w14:textId="77777777" w:rsidR="00327EA0" w:rsidRPr="00327EA0" w:rsidRDefault="00327EA0" w:rsidP="00327EA0">
            <w:pPr>
              <w:spacing w:before="60" w:after="60"/>
              <w:jc w:val="center"/>
              <w:rPr>
                <w:sz w:val="20"/>
                <w:szCs w:val="20"/>
              </w:rPr>
            </w:pPr>
            <w:r w:rsidRPr="00327EA0">
              <w:rPr>
                <w:sz w:val="20"/>
                <w:szCs w:val="20"/>
              </w:rPr>
              <w:t>PLMRS (47 CFR part 90) (per license) (exclusive use)</w:t>
            </w:r>
          </w:p>
        </w:tc>
        <w:tc>
          <w:tcPr>
            <w:tcW w:w="1800" w:type="dxa"/>
            <w:vAlign w:val="center"/>
          </w:tcPr>
          <w:p w14:paraId="43984845" w14:textId="77777777" w:rsidR="00327EA0" w:rsidRPr="00327EA0" w:rsidRDefault="00327EA0" w:rsidP="00327EA0">
            <w:pPr>
              <w:spacing w:before="60" w:after="60"/>
              <w:jc w:val="center"/>
              <w:rPr>
                <w:sz w:val="20"/>
                <w:szCs w:val="20"/>
              </w:rPr>
            </w:pPr>
            <w:r w:rsidRPr="00327EA0">
              <w:rPr>
                <w:sz w:val="20"/>
                <w:szCs w:val="20"/>
              </w:rPr>
              <w:t>$25</w:t>
            </w:r>
          </w:p>
        </w:tc>
        <w:tc>
          <w:tcPr>
            <w:tcW w:w="2245" w:type="dxa"/>
            <w:vAlign w:val="center"/>
          </w:tcPr>
          <w:p w14:paraId="44194C3E" w14:textId="316F6FED" w:rsidR="00327EA0" w:rsidRPr="00327EA0" w:rsidRDefault="00327EA0" w:rsidP="00327EA0">
            <w:pPr>
              <w:spacing w:before="60" w:after="60"/>
              <w:jc w:val="center"/>
              <w:rPr>
                <w:sz w:val="20"/>
                <w:szCs w:val="20"/>
              </w:rPr>
            </w:pPr>
            <w:r w:rsidRPr="00327EA0">
              <w:rPr>
                <w:sz w:val="20"/>
                <w:szCs w:val="20"/>
              </w:rPr>
              <w:t>$25</w:t>
            </w:r>
          </w:p>
        </w:tc>
      </w:tr>
      <w:tr w:rsidR="00327EA0" w:rsidRPr="00327EA0" w14:paraId="104B78C0" w14:textId="77777777" w:rsidTr="008B5D08">
        <w:tc>
          <w:tcPr>
            <w:tcW w:w="5305" w:type="dxa"/>
            <w:vAlign w:val="center"/>
          </w:tcPr>
          <w:p w14:paraId="14FABB83" w14:textId="77777777" w:rsidR="00327EA0" w:rsidRPr="00327EA0" w:rsidRDefault="00327EA0" w:rsidP="00327EA0">
            <w:pPr>
              <w:spacing w:before="60" w:after="60"/>
              <w:jc w:val="center"/>
              <w:rPr>
                <w:sz w:val="20"/>
                <w:szCs w:val="20"/>
              </w:rPr>
            </w:pPr>
            <w:r w:rsidRPr="00327EA0">
              <w:rPr>
                <w:sz w:val="20"/>
                <w:szCs w:val="20"/>
              </w:rPr>
              <w:t>Microwave (47 CFR part 101) (per license)</w:t>
            </w:r>
          </w:p>
        </w:tc>
        <w:tc>
          <w:tcPr>
            <w:tcW w:w="1800" w:type="dxa"/>
            <w:vAlign w:val="center"/>
          </w:tcPr>
          <w:p w14:paraId="71F845DC" w14:textId="77777777" w:rsidR="00327EA0" w:rsidRPr="00327EA0" w:rsidRDefault="00327EA0" w:rsidP="00327EA0">
            <w:pPr>
              <w:spacing w:before="60" w:after="60"/>
              <w:jc w:val="center"/>
              <w:rPr>
                <w:sz w:val="20"/>
                <w:szCs w:val="20"/>
              </w:rPr>
            </w:pPr>
            <w:r w:rsidRPr="00327EA0">
              <w:rPr>
                <w:sz w:val="20"/>
                <w:szCs w:val="20"/>
              </w:rPr>
              <w:t>$25</w:t>
            </w:r>
          </w:p>
        </w:tc>
        <w:tc>
          <w:tcPr>
            <w:tcW w:w="2245" w:type="dxa"/>
            <w:vAlign w:val="center"/>
          </w:tcPr>
          <w:p w14:paraId="5C9D0EBE" w14:textId="0B6A0DC2" w:rsidR="00327EA0" w:rsidRPr="00327EA0" w:rsidRDefault="00327EA0" w:rsidP="00327EA0">
            <w:pPr>
              <w:spacing w:before="60" w:after="60"/>
              <w:jc w:val="center"/>
              <w:rPr>
                <w:sz w:val="20"/>
                <w:szCs w:val="20"/>
              </w:rPr>
            </w:pPr>
            <w:r w:rsidRPr="00327EA0">
              <w:rPr>
                <w:sz w:val="20"/>
                <w:szCs w:val="20"/>
              </w:rPr>
              <w:t>$25</w:t>
            </w:r>
          </w:p>
        </w:tc>
      </w:tr>
      <w:tr w:rsidR="00327EA0" w:rsidRPr="00327EA0" w14:paraId="0468305B" w14:textId="77777777" w:rsidTr="008B5D08">
        <w:tc>
          <w:tcPr>
            <w:tcW w:w="5305" w:type="dxa"/>
            <w:vAlign w:val="center"/>
          </w:tcPr>
          <w:p w14:paraId="3A641C8A" w14:textId="77777777" w:rsidR="00327EA0" w:rsidRPr="00327EA0" w:rsidRDefault="00327EA0" w:rsidP="00327EA0">
            <w:pPr>
              <w:spacing w:before="60" w:after="60"/>
              <w:jc w:val="center"/>
              <w:rPr>
                <w:sz w:val="20"/>
                <w:szCs w:val="20"/>
              </w:rPr>
            </w:pPr>
            <w:r w:rsidRPr="00327EA0">
              <w:rPr>
                <w:sz w:val="20"/>
                <w:szCs w:val="20"/>
              </w:rPr>
              <w:t>Low Power TV, Class A TV, TV/FM Translators &amp; Boosters</w:t>
            </w:r>
          </w:p>
        </w:tc>
        <w:tc>
          <w:tcPr>
            <w:tcW w:w="1800" w:type="dxa"/>
            <w:vAlign w:val="center"/>
          </w:tcPr>
          <w:p w14:paraId="2DA7BC37" w14:textId="795D152A" w:rsidR="00327EA0" w:rsidRPr="00327EA0" w:rsidRDefault="00D62696" w:rsidP="00327EA0">
            <w:pPr>
              <w:spacing w:before="60" w:after="60"/>
              <w:jc w:val="center"/>
              <w:rPr>
                <w:sz w:val="20"/>
                <w:szCs w:val="20"/>
              </w:rPr>
            </w:pPr>
            <w:r>
              <w:rPr>
                <w:sz w:val="20"/>
                <w:szCs w:val="20"/>
              </w:rPr>
              <w:t>$315</w:t>
            </w:r>
          </w:p>
        </w:tc>
        <w:tc>
          <w:tcPr>
            <w:tcW w:w="2245" w:type="dxa"/>
            <w:vAlign w:val="center"/>
          </w:tcPr>
          <w:p w14:paraId="16EC5AE8" w14:textId="21090D5C" w:rsidR="00327EA0" w:rsidRPr="00327EA0" w:rsidRDefault="00327EA0" w:rsidP="00327EA0">
            <w:pPr>
              <w:spacing w:before="60" w:after="60"/>
              <w:jc w:val="center"/>
              <w:rPr>
                <w:sz w:val="20"/>
                <w:szCs w:val="20"/>
              </w:rPr>
            </w:pPr>
            <w:r w:rsidRPr="00327EA0">
              <w:rPr>
                <w:sz w:val="20"/>
                <w:szCs w:val="20"/>
              </w:rPr>
              <w:t>$345</w:t>
            </w:r>
          </w:p>
        </w:tc>
      </w:tr>
      <w:tr w:rsidR="00327EA0" w:rsidRPr="00327EA0" w14:paraId="32B57C8E" w14:textId="77777777" w:rsidTr="008B5D08">
        <w:tc>
          <w:tcPr>
            <w:tcW w:w="5305" w:type="dxa"/>
            <w:vAlign w:val="center"/>
          </w:tcPr>
          <w:p w14:paraId="2C13BDC5" w14:textId="77777777" w:rsidR="00327EA0" w:rsidRPr="00327EA0" w:rsidRDefault="00327EA0" w:rsidP="00327EA0">
            <w:pPr>
              <w:spacing w:before="60" w:after="60"/>
              <w:jc w:val="center"/>
              <w:rPr>
                <w:sz w:val="20"/>
                <w:szCs w:val="20"/>
              </w:rPr>
            </w:pPr>
            <w:r w:rsidRPr="00327EA0">
              <w:rPr>
                <w:sz w:val="20"/>
                <w:szCs w:val="20"/>
              </w:rPr>
              <w:t>Earth Stations</w:t>
            </w:r>
          </w:p>
        </w:tc>
        <w:tc>
          <w:tcPr>
            <w:tcW w:w="1800" w:type="dxa"/>
            <w:vAlign w:val="center"/>
          </w:tcPr>
          <w:p w14:paraId="0C63F693" w14:textId="460DEB7C" w:rsidR="00327EA0" w:rsidRPr="00327EA0" w:rsidRDefault="00327EA0" w:rsidP="00D62696">
            <w:pPr>
              <w:spacing w:before="60" w:after="60"/>
              <w:jc w:val="center"/>
              <w:rPr>
                <w:sz w:val="20"/>
                <w:szCs w:val="20"/>
              </w:rPr>
            </w:pPr>
            <w:r w:rsidRPr="00327EA0">
              <w:rPr>
                <w:sz w:val="20"/>
                <w:szCs w:val="20"/>
              </w:rPr>
              <w:t>$</w:t>
            </w:r>
            <w:r w:rsidR="00D62696">
              <w:rPr>
                <w:sz w:val="20"/>
                <w:szCs w:val="20"/>
              </w:rPr>
              <w:t>560</w:t>
            </w:r>
          </w:p>
        </w:tc>
        <w:tc>
          <w:tcPr>
            <w:tcW w:w="2245" w:type="dxa"/>
            <w:vAlign w:val="center"/>
          </w:tcPr>
          <w:p w14:paraId="71F72E3B" w14:textId="34F2FE54" w:rsidR="00327EA0" w:rsidRPr="00327EA0" w:rsidRDefault="00327EA0" w:rsidP="00327EA0">
            <w:pPr>
              <w:spacing w:before="60" w:after="60"/>
              <w:jc w:val="center"/>
              <w:rPr>
                <w:sz w:val="20"/>
                <w:szCs w:val="20"/>
              </w:rPr>
            </w:pPr>
            <w:r w:rsidRPr="00327EA0">
              <w:rPr>
                <w:sz w:val="20"/>
                <w:szCs w:val="20"/>
              </w:rPr>
              <w:t>$425</w:t>
            </w:r>
          </w:p>
        </w:tc>
      </w:tr>
      <w:tr w:rsidR="00327EA0" w:rsidRPr="00327EA0" w14:paraId="7C7BC595" w14:textId="77777777" w:rsidTr="008B5D08">
        <w:tc>
          <w:tcPr>
            <w:tcW w:w="5305" w:type="dxa"/>
            <w:vAlign w:val="center"/>
          </w:tcPr>
          <w:p w14:paraId="77781572" w14:textId="77777777" w:rsidR="00327EA0" w:rsidRPr="00327EA0" w:rsidRDefault="00327EA0" w:rsidP="00327EA0">
            <w:pPr>
              <w:spacing w:before="60" w:after="60"/>
              <w:jc w:val="center"/>
              <w:rPr>
                <w:sz w:val="20"/>
                <w:szCs w:val="20"/>
              </w:rPr>
            </w:pPr>
            <w:r w:rsidRPr="00327EA0">
              <w:rPr>
                <w:sz w:val="20"/>
                <w:szCs w:val="20"/>
              </w:rPr>
              <w:t>Cable Television Systems (per subscriber)</w:t>
            </w:r>
          </w:p>
        </w:tc>
        <w:tc>
          <w:tcPr>
            <w:tcW w:w="1800" w:type="dxa"/>
            <w:vAlign w:val="center"/>
          </w:tcPr>
          <w:p w14:paraId="54DBA9A7" w14:textId="31E9376B" w:rsidR="00327EA0" w:rsidRPr="00327EA0" w:rsidRDefault="00D62696" w:rsidP="00327EA0">
            <w:pPr>
              <w:spacing w:before="60" w:after="60"/>
              <w:jc w:val="center"/>
              <w:rPr>
                <w:sz w:val="20"/>
                <w:szCs w:val="20"/>
              </w:rPr>
            </w:pPr>
            <w:r>
              <w:rPr>
                <w:sz w:val="20"/>
                <w:szCs w:val="20"/>
              </w:rPr>
              <w:t>$0.89</w:t>
            </w:r>
          </w:p>
        </w:tc>
        <w:tc>
          <w:tcPr>
            <w:tcW w:w="2245" w:type="dxa"/>
            <w:vAlign w:val="center"/>
          </w:tcPr>
          <w:p w14:paraId="0A085399" w14:textId="34E88B7D" w:rsidR="00327EA0" w:rsidRPr="00327EA0" w:rsidRDefault="00327EA0" w:rsidP="00327EA0">
            <w:pPr>
              <w:spacing w:before="60" w:after="60"/>
              <w:jc w:val="center"/>
              <w:rPr>
                <w:sz w:val="20"/>
                <w:szCs w:val="20"/>
              </w:rPr>
            </w:pPr>
            <w:r w:rsidRPr="00327EA0">
              <w:rPr>
                <w:sz w:val="20"/>
                <w:szCs w:val="20"/>
              </w:rPr>
              <w:t>$0.86</w:t>
            </w:r>
          </w:p>
        </w:tc>
      </w:tr>
      <w:tr w:rsidR="00327EA0" w:rsidRPr="00327EA0" w14:paraId="13CB52A9" w14:textId="77777777" w:rsidTr="008B5D08">
        <w:tc>
          <w:tcPr>
            <w:tcW w:w="5305" w:type="dxa"/>
            <w:vAlign w:val="center"/>
          </w:tcPr>
          <w:p w14:paraId="3357DD64" w14:textId="77777777" w:rsidR="00327EA0" w:rsidRPr="00327EA0" w:rsidRDefault="00327EA0" w:rsidP="00327EA0">
            <w:pPr>
              <w:spacing w:before="60" w:after="60"/>
              <w:jc w:val="center"/>
              <w:rPr>
                <w:sz w:val="20"/>
                <w:szCs w:val="20"/>
              </w:rPr>
            </w:pPr>
            <w:r w:rsidRPr="00327EA0">
              <w:rPr>
                <w:sz w:val="20"/>
                <w:szCs w:val="20"/>
              </w:rPr>
              <w:t>Direct Broadcast Satellite (DBS) (per subscriber)</w:t>
            </w:r>
          </w:p>
        </w:tc>
        <w:tc>
          <w:tcPr>
            <w:tcW w:w="1800" w:type="dxa"/>
            <w:vAlign w:val="center"/>
          </w:tcPr>
          <w:p w14:paraId="4CD50D55" w14:textId="7BF350E1" w:rsidR="00327EA0" w:rsidRPr="00327EA0" w:rsidRDefault="00D62696" w:rsidP="00327EA0">
            <w:pPr>
              <w:spacing w:before="60" w:after="60"/>
              <w:jc w:val="center"/>
              <w:rPr>
                <w:sz w:val="20"/>
                <w:szCs w:val="20"/>
              </w:rPr>
            </w:pPr>
            <w:r>
              <w:rPr>
                <w:sz w:val="20"/>
                <w:szCs w:val="20"/>
              </w:rPr>
              <w:t>$0.72</w:t>
            </w:r>
          </w:p>
        </w:tc>
        <w:tc>
          <w:tcPr>
            <w:tcW w:w="2245" w:type="dxa"/>
            <w:vAlign w:val="center"/>
          </w:tcPr>
          <w:p w14:paraId="246D6513" w14:textId="13B96EBC" w:rsidR="00327EA0" w:rsidRPr="00327EA0" w:rsidRDefault="00327EA0" w:rsidP="00327EA0">
            <w:pPr>
              <w:spacing w:before="60" w:after="60"/>
              <w:jc w:val="center"/>
              <w:rPr>
                <w:sz w:val="20"/>
                <w:szCs w:val="20"/>
              </w:rPr>
            </w:pPr>
            <w:r w:rsidRPr="00327EA0">
              <w:rPr>
                <w:sz w:val="20"/>
                <w:szCs w:val="20"/>
              </w:rPr>
              <w:t>$0.60</w:t>
            </w:r>
          </w:p>
        </w:tc>
      </w:tr>
    </w:tbl>
    <w:p w14:paraId="7A2EDF2E" w14:textId="77777777" w:rsidR="00327EA0" w:rsidRPr="00327EA0" w:rsidRDefault="00327EA0" w:rsidP="00327EA0">
      <w:pPr>
        <w:jc w:val="center"/>
        <w:rPr>
          <w:b/>
        </w:rPr>
      </w:pPr>
    </w:p>
    <w:p w14:paraId="5D76DEE4" w14:textId="77777777" w:rsidR="00327EA0" w:rsidRDefault="00327EA0" w:rsidP="007D1905">
      <w:pPr>
        <w:tabs>
          <w:tab w:val="left" w:pos="-1422"/>
          <w:tab w:val="left" w:pos="-702"/>
          <w:tab w:val="left" w:pos="18"/>
          <w:tab w:val="left" w:pos="738"/>
          <w:tab w:val="left" w:pos="3945"/>
        </w:tabs>
        <w:spacing w:after="0"/>
        <w:ind w:right="18"/>
        <w:jc w:val="center"/>
      </w:pPr>
    </w:p>
    <w:sectPr w:rsidR="00327EA0" w:rsidSect="007D1905">
      <w:headerReference w:type="first" r:id="rId35"/>
      <w:pgSz w:w="12240" w:h="15840" w:code="1"/>
      <w:pgMar w:top="1440" w:right="1440" w:bottom="864"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E8701" w14:textId="77777777" w:rsidR="008B5D08" w:rsidRDefault="008B5D08" w:rsidP="002B6E2A">
      <w:pPr>
        <w:spacing w:after="0"/>
      </w:pPr>
      <w:r>
        <w:separator/>
      </w:r>
    </w:p>
  </w:endnote>
  <w:endnote w:type="continuationSeparator" w:id="0">
    <w:p w14:paraId="0ECD34EA" w14:textId="77777777" w:rsidR="008B5D08" w:rsidRDefault="008B5D08"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962BB" w14:textId="77777777" w:rsidR="00272994" w:rsidRDefault="00272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38AD9FC9" w:rsidR="008B5D08" w:rsidRDefault="008B5D08"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BF5F02">
      <w:rPr>
        <w:noProof/>
        <w:color w:val="2F5496" w:themeColor="accent5" w:themeShade="BF"/>
      </w:rPr>
      <w:t>9</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BFB57" w14:textId="77777777" w:rsidR="00272994" w:rsidRDefault="00272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9E2AF" w14:textId="77777777" w:rsidR="008B5D08" w:rsidRDefault="008B5D08" w:rsidP="002B6E2A">
      <w:pPr>
        <w:spacing w:after="0"/>
      </w:pPr>
      <w:r>
        <w:separator/>
      </w:r>
    </w:p>
  </w:footnote>
  <w:footnote w:type="continuationSeparator" w:id="0">
    <w:p w14:paraId="0A85FDAA" w14:textId="77777777" w:rsidR="008B5D08" w:rsidRDefault="008B5D08"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8E9E" w14:textId="77777777" w:rsidR="00272994" w:rsidRDefault="00272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144098C9" w:rsidR="008B5D08" w:rsidRPr="00991C10" w:rsidRDefault="008B5D08"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272994" w:rsidRPr="00D6082B" w14:paraId="51D41BD0" w14:textId="77777777" w:rsidTr="00701947">
      <w:tc>
        <w:tcPr>
          <w:tcW w:w="1440" w:type="dxa"/>
          <w:shd w:val="clear" w:color="auto" w:fill="auto"/>
        </w:tcPr>
        <w:p w14:paraId="2AD9CF36"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5408" behindDoc="0" locked="0" layoutInCell="1" allowOverlap="1" wp14:anchorId="28FD7D3C" wp14:editId="1FBA3E2A">
                <wp:simplePos x="0" y="0"/>
                <wp:positionH relativeFrom="column">
                  <wp:posOffset>53340</wp:posOffset>
                </wp:positionH>
                <wp:positionV relativeFrom="page">
                  <wp:posOffset>104775</wp:posOffset>
                </wp:positionV>
                <wp:extent cx="548640" cy="525780"/>
                <wp:effectExtent l="0" t="0" r="3810" b="762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5257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gridSpan w:val="3"/>
          <w:shd w:val="clear" w:color="auto" w:fill="auto"/>
        </w:tcPr>
        <w:p w14:paraId="00EF0225"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7456" behindDoc="0" locked="0" layoutInCell="1" allowOverlap="1" wp14:anchorId="46EFA328" wp14:editId="7252FD76">
                <wp:simplePos x="0" y="0"/>
                <wp:positionH relativeFrom="column">
                  <wp:posOffset>8255</wp:posOffset>
                </wp:positionH>
                <wp:positionV relativeFrom="page">
                  <wp:posOffset>66040</wp:posOffset>
                </wp:positionV>
                <wp:extent cx="4495800" cy="594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0" cy="594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0" w:type="dxa"/>
          <w:shd w:val="clear" w:color="auto" w:fill="auto"/>
        </w:tcPr>
        <w:p w14:paraId="6C31E968"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noProof/>
              <w:szCs w:val="24"/>
            </w:rPr>
            <w:drawing>
              <wp:anchor distT="0" distB="0" distL="114300" distR="114300" simplePos="0" relativeHeight="251666432" behindDoc="0" locked="0" layoutInCell="1" allowOverlap="1" wp14:anchorId="74D28017" wp14:editId="4A88E5AB">
                <wp:simplePos x="0" y="0"/>
                <wp:positionH relativeFrom="column">
                  <wp:posOffset>104140</wp:posOffset>
                </wp:positionH>
                <wp:positionV relativeFrom="page">
                  <wp:posOffset>179070</wp:posOffset>
                </wp:positionV>
                <wp:extent cx="776605" cy="381000"/>
                <wp:effectExtent l="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r="77014" b="84099"/>
                        <a:stretch>
                          <a:fillRect/>
                        </a:stretch>
                      </pic:blipFill>
                      <pic:spPr bwMode="auto">
                        <a:xfrm>
                          <a:off x="0" y="0"/>
                          <a:ext cx="77660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72994" w:rsidRPr="00D6082B" w14:paraId="660A4565" w14:textId="77777777" w:rsidTr="00701947">
      <w:tc>
        <w:tcPr>
          <w:tcW w:w="4500" w:type="dxa"/>
          <w:gridSpan w:val="2"/>
          <w:shd w:val="clear" w:color="auto" w:fill="auto"/>
          <w:tcMar>
            <w:left w:w="0" w:type="dxa"/>
            <w:right w:w="0" w:type="dxa"/>
          </w:tcMar>
        </w:tcPr>
        <w:p w14:paraId="513BE8A2"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szCs w:val="24"/>
            </w:rPr>
            <w:t>Brooks, Pierce, McLendon, Humphrey &amp; Leonard, LLP</w:t>
          </w:r>
        </w:p>
        <w:p w14:paraId="0258622D"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szCs w:val="24"/>
            </w:rPr>
            <w:t>Counsel to VAB • (919) 839-0300</w:t>
          </w:r>
        </w:p>
      </w:tc>
      <w:tc>
        <w:tcPr>
          <w:tcW w:w="2340" w:type="dxa"/>
          <w:shd w:val="clear" w:color="auto" w:fill="auto"/>
          <w:tcMar>
            <w:left w:w="0" w:type="dxa"/>
            <w:right w:w="0" w:type="dxa"/>
          </w:tcMar>
        </w:tcPr>
        <w:p w14:paraId="13BB0B3A" w14:textId="77777777" w:rsidR="00272994" w:rsidRPr="00D6082B" w:rsidRDefault="00272994" w:rsidP="00272994">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09AA705D"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szCs w:val="24"/>
            </w:rPr>
            <w:t>250 West Main Street, Suite 100   </w:t>
          </w:r>
        </w:p>
        <w:p w14:paraId="6AA5646B" w14:textId="77777777" w:rsidR="00272994" w:rsidRPr="00D6082B" w:rsidRDefault="00272994" w:rsidP="00272994">
          <w:pPr>
            <w:tabs>
              <w:tab w:val="left" w:pos="720"/>
            </w:tabs>
            <w:spacing w:after="0"/>
            <w:jc w:val="center"/>
            <w:rPr>
              <w:rFonts w:eastAsia="Calibri" w:cs="Times New Roman"/>
              <w:szCs w:val="24"/>
            </w:rPr>
          </w:pPr>
          <w:r w:rsidRPr="00D6082B">
            <w:rPr>
              <w:rFonts w:eastAsia="Calibri" w:cs="Times New Roman"/>
              <w:szCs w:val="24"/>
            </w:rPr>
            <w:t>Charlottesville, VA 22902 • (434) 977-3716 </w:t>
          </w:r>
        </w:p>
      </w:tc>
    </w:tr>
    <w:tr w:rsidR="00272994" w:rsidRPr="00D6082B" w14:paraId="4BF0F258" w14:textId="77777777" w:rsidTr="00701947">
      <w:trPr>
        <w:trHeight w:val="259"/>
      </w:trPr>
      <w:tc>
        <w:tcPr>
          <w:tcW w:w="10440" w:type="dxa"/>
          <w:gridSpan w:val="5"/>
          <w:shd w:val="clear" w:color="auto" w:fill="auto"/>
        </w:tcPr>
        <w:p w14:paraId="33151C71" w14:textId="77777777" w:rsidR="00272994" w:rsidRPr="00D6082B" w:rsidRDefault="00272994" w:rsidP="00272994">
          <w:pPr>
            <w:tabs>
              <w:tab w:val="left" w:pos="720"/>
            </w:tabs>
            <w:spacing w:after="0"/>
            <w:jc w:val="center"/>
            <w:rPr>
              <w:rFonts w:eastAsia="Calibri" w:cs="Times New Roman"/>
              <w:b/>
              <w:szCs w:val="24"/>
            </w:rPr>
          </w:pPr>
        </w:p>
      </w:tc>
    </w:tr>
    <w:tr w:rsidR="00272994" w:rsidRPr="00D6082B" w14:paraId="5F93179B" w14:textId="77777777" w:rsidTr="00701947">
      <w:trPr>
        <w:trHeight w:val="103"/>
      </w:trPr>
      <w:tc>
        <w:tcPr>
          <w:tcW w:w="10440" w:type="dxa"/>
          <w:gridSpan w:val="5"/>
          <w:shd w:val="clear" w:color="auto" w:fill="auto"/>
          <w:tcMar>
            <w:left w:w="115" w:type="dxa"/>
            <w:right w:w="115" w:type="dxa"/>
          </w:tcMar>
          <w:vAlign w:val="center"/>
        </w:tcPr>
        <w:p w14:paraId="758DE4E5" w14:textId="77777777" w:rsidR="00272994" w:rsidRPr="00D6082B" w:rsidRDefault="00272994" w:rsidP="00272994">
          <w:pPr>
            <w:tabs>
              <w:tab w:val="left" w:pos="720"/>
            </w:tabs>
            <w:spacing w:after="0"/>
            <w:jc w:val="center"/>
            <w:rPr>
              <w:rFonts w:eastAsia="Calibri" w:cs="Times New Roman"/>
              <w:b/>
              <w:szCs w:val="24"/>
            </w:rPr>
          </w:pPr>
          <w:r w:rsidRPr="00D6082B">
            <w:rPr>
              <w:rFonts w:eastAsia="Calibri" w:cs="Times New Roman"/>
              <w:noProof/>
              <w:szCs w:val="24"/>
            </w:rPr>
            <mc:AlternateContent>
              <mc:Choice Requires="wps">
                <w:drawing>
                  <wp:anchor distT="4294967291" distB="4294967291" distL="114300" distR="114300" simplePos="0" relativeHeight="251668480" behindDoc="0" locked="0" layoutInCell="1" allowOverlap="1" wp14:anchorId="00DFBFF2" wp14:editId="22D34CD4">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D5E4" id="Straight Connector 11"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D6082B">
            <w:rPr>
              <w:rFonts w:eastAsia="Calibri" w:cs="Times New Roman"/>
              <w:noProof/>
              <w:szCs w:val="24"/>
            </w:rPr>
            <mc:AlternateContent>
              <mc:Choice Requires="wps">
                <w:drawing>
                  <wp:anchor distT="4294967291" distB="4294967291" distL="114300" distR="114300" simplePos="0" relativeHeight="251669504" behindDoc="0" locked="0" layoutInCell="1" allowOverlap="1" wp14:anchorId="1F373769" wp14:editId="245586AF">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22F4F" id="Straight Connector 10"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36510937" w:rsidR="008B5D08" w:rsidRDefault="008B5D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2CDBA" w14:textId="538E6A57" w:rsidR="008B5D08" w:rsidRDefault="008B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62433CE"/>
    <w:multiLevelType w:val="hybridMultilevel"/>
    <w:tmpl w:val="2C7CE232"/>
    <w:lvl w:ilvl="0" w:tplc="E05E20A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444D80"/>
    <w:multiLevelType w:val="hybridMultilevel"/>
    <w:tmpl w:val="13725086"/>
    <w:lvl w:ilvl="0" w:tplc="274E4002">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D016D"/>
    <w:multiLevelType w:val="hybridMultilevel"/>
    <w:tmpl w:val="7D48BD24"/>
    <w:lvl w:ilvl="0" w:tplc="C1FEC09A">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5" w15:restartNumberingAfterBreak="0">
    <w:nsid w:val="691F12BE"/>
    <w:multiLevelType w:val="hybridMultilevel"/>
    <w:tmpl w:val="78E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1D3"/>
    <w:rsid w:val="00000433"/>
    <w:rsid w:val="000010B9"/>
    <w:rsid w:val="0000120D"/>
    <w:rsid w:val="0000123E"/>
    <w:rsid w:val="00001885"/>
    <w:rsid w:val="00001EA4"/>
    <w:rsid w:val="00002658"/>
    <w:rsid w:val="000026AF"/>
    <w:rsid w:val="0000272B"/>
    <w:rsid w:val="00002DC7"/>
    <w:rsid w:val="00004207"/>
    <w:rsid w:val="00004A71"/>
    <w:rsid w:val="00004D4E"/>
    <w:rsid w:val="0000685A"/>
    <w:rsid w:val="00006BB1"/>
    <w:rsid w:val="00006C4E"/>
    <w:rsid w:val="00006CF7"/>
    <w:rsid w:val="00007D8F"/>
    <w:rsid w:val="00007DA2"/>
    <w:rsid w:val="000104C2"/>
    <w:rsid w:val="0001115E"/>
    <w:rsid w:val="00011333"/>
    <w:rsid w:val="000119D0"/>
    <w:rsid w:val="00012627"/>
    <w:rsid w:val="00012B01"/>
    <w:rsid w:val="00012DBC"/>
    <w:rsid w:val="000130CD"/>
    <w:rsid w:val="000133B9"/>
    <w:rsid w:val="00013479"/>
    <w:rsid w:val="00013BCB"/>
    <w:rsid w:val="00014C35"/>
    <w:rsid w:val="00014E79"/>
    <w:rsid w:val="000150E0"/>
    <w:rsid w:val="00015668"/>
    <w:rsid w:val="00015A69"/>
    <w:rsid w:val="00015D04"/>
    <w:rsid w:val="0001627F"/>
    <w:rsid w:val="00016C13"/>
    <w:rsid w:val="000174AA"/>
    <w:rsid w:val="00017545"/>
    <w:rsid w:val="000207B5"/>
    <w:rsid w:val="00020CCA"/>
    <w:rsid w:val="0002163F"/>
    <w:rsid w:val="0002217B"/>
    <w:rsid w:val="00022244"/>
    <w:rsid w:val="00022A39"/>
    <w:rsid w:val="00022B00"/>
    <w:rsid w:val="00022B8C"/>
    <w:rsid w:val="00022D91"/>
    <w:rsid w:val="00022ED1"/>
    <w:rsid w:val="00023D37"/>
    <w:rsid w:val="00023EB6"/>
    <w:rsid w:val="00023F5A"/>
    <w:rsid w:val="00024D39"/>
    <w:rsid w:val="000254E0"/>
    <w:rsid w:val="000264F9"/>
    <w:rsid w:val="00026A4B"/>
    <w:rsid w:val="00027186"/>
    <w:rsid w:val="00027552"/>
    <w:rsid w:val="00027B1F"/>
    <w:rsid w:val="00027FA5"/>
    <w:rsid w:val="000300C0"/>
    <w:rsid w:val="000311BF"/>
    <w:rsid w:val="00031666"/>
    <w:rsid w:val="00032635"/>
    <w:rsid w:val="00032A3E"/>
    <w:rsid w:val="00033309"/>
    <w:rsid w:val="0003360A"/>
    <w:rsid w:val="000354BB"/>
    <w:rsid w:val="00035FC1"/>
    <w:rsid w:val="0003607F"/>
    <w:rsid w:val="000360A5"/>
    <w:rsid w:val="0003695D"/>
    <w:rsid w:val="000369A6"/>
    <w:rsid w:val="00037946"/>
    <w:rsid w:val="00041BCF"/>
    <w:rsid w:val="000423D8"/>
    <w:rsid w:val="00042988"/>
    <w:rsid w:val="00042A29"/>
    <w:rsid w:val="00042B6F"/>
    <w:rsid w:val="00043C63"/>
    <w:rsid w:val="00043E75"/>
    <w:rsid w:val="00044165"/>
    <w:rsid w:val="0004445F"/>
    <w:rsid w:val="0004498A"/>
    <w:rsid w:val="00044ACD"/>
    <w:rsid w:val="00044FA4"/>
    <w:rsid w:val="000454F8"/>
    <w:rsid w:val="00045CB8"/>
    <w:rsid w:val="000462FF"/>
    <w:rsid w:val="000466BF"/>
    <w:rsid w:val="00047240"/>
    <w:rsid w:val="0004737F"/>
    <w:rsid w:val="00047398"/>
    <w:rsid w:val="00047F10"/>
    <w:rsid w:val="0005033D"/>
    <w:rsid w:val="000503CC"/>
    <w:rsid w:val="00050EB2"/>
    <w:rsid w:val="00051A0B"/>
    <w:rsid w:val="00051F77"/>
    <w:rsid w:val="00052EDA"/>
    <w:rsid w:val="00053179"/>
    <w:rsid w:val="00053799"/>
    <w:rsid w:val="0005386F"/>
    <w:rsid w:val="00053DBF"/>
    <w:rsid w:val="00053FEC"/>
    <w:rsid w:val="00054464"/>
    <w:rsid w:val="000547EE"/>
    <w:rsid w:val="00054985"/>
    <w:rsid w:val="00055828"/>
    <w:rsid w:val="00055ABA"/>
    <w:rsid w:val="00055AC7"/>
    <w:rsid w:val="00055D95"/>
    <w:rsid w:val="0006012E"/>
    <w:rsid w:val="000602A5"/>
    <w:rsid w:val="0006067C"/>
    <w:rsid w:val="000606FB"/>
    <w:rsid w:val="000608DA"/>
    <w:rsid w:val="000609DB"/>
    <w:rsid w:val="00060B7C"/>
    <w:rsid w:val="00061810"/>
    <w:rsid w:val="00062AC6"/>
    <w:rsid w:val="00063219"/>
    <w:rsid w:val="00063A2F"/>
    <w:rsid w:val="00063B0C"/>
    <w:rsid w:val="00063CE7"/>
    <w:rsid w:val="000663F1"/>
    <w:rsid w:val="00066B19"/>
    <w:rsid w:val="00066E74"/>
    <w:rsid w:val="00067013"/>
    <w:rsid w:val="00067128"/>
    <w:rsid w:val="00067347"/>
    <w:rsid w:val="000675C0"/>
    <w:rsid w:val="00067667"/>
    <w:rsid w:val="00067E5E"/>
    <w:rsid w:val="00070C1A"/>
    <w:rsid w:val="00070CBC"/>
    <w:rsid w:val="00071C48"/>
    <w:rsid w:val="000732A8"/>
    <w:rsid w:val="0007349A"/>
    <w:rsid w:val="000738CB"/>
    <w:rsid w:val="00073D13"/>
    <w:rsid w:val="000742C5"/>
    <w:rsid w:val="00074E4F"/>
    <w:rsid w:val="0007563A"/>
    <w:rsid w:val="000758CF"/>
    <w:rsid w:val="000758F0"/>
    <w:rsid w:val="00075DFA"/>
    <w:rsid w:val="00075E61"/>
    <w:rsid w:val="000763B7"/>
    <w:rsid w:val="000766DE"/>
    <w:rsid w:val="0007791D"/>
    <w:rsid w:val="0008099C"/>
    <w:rsid w:val="00081598"/>
    <w:rsid w:val="000815FD"/>
    <w:rsid w:val="0008173F"/>
    <w:rsid w:val="00081CE4"/>
    <w:rsid w:val="00082476"/>
    <w:rsid w:val="00082AB9"/>
    <w:rsid w:val="00082D00"/>
    <w:rsid w:val="00083955"/>
    <w:rsid w:val="00084042"/>
    <w:rsid w:val="000840B5"/>
    <w:rsid w:val="000848B6"/>
    <w:rsid w:val="00084C61"/>
    <w:rsid w:val="00085D4F"/>
    <w:rsid w:val="00086FA1"/>
    <w:rsid w:val="00086FAE"/>
    <w:rsid w:val="0008736A"/>
    <w:rsid w:val="00087AEB"/>
    <w:rsid w:val="00087B5C"/>
    <w:rsid w:val="00087C7E"/>
    <w:rsid w:val="000903B9"/>
    <w:rsid w:val="00091D0B"/>
    <w:rsid w:val="00091DA9"/>
    <w:rsid w:val="000922D9"/>
    <w:rsid w:val="00092632"/>
    <w:rsid w:val="0009278E"/>
    <w:rsid w:val="00092999"/>
    <w:rsid w:val="00092BDD"/>
    <w:rsid w:val="000933E4"/>
    <w:rsid w:val="00093AEF"/>
    <w:rsid w:val="00093D68"/>
    <w:rsid w:val="000940D2"/>
    <w:rsid w:val="0009412C"/>
    <w:rsid w:val="00094317"/>
    <w:rsid w:val="0009476C"/>
    <w:rsid w:val="00095375"/>
    <w:rsid w:val="00095D47"/>
    <w:rsid w:val="0009780E"/>
    <w:rsid w:val="000A00EB"/>
    <w:rsid w:val="000A0966"/>
    <w:rsid w:val="000A0D94"/>
    <w:rsid w:val="000A14E2"/>
    <w:rsid w:val="000A211D"/>
    <w:rsid w:val="000A25EE"/>
    <w:rsid w:val="000A2911"/>
    <w:rsid w:val="000A30A3"/>
    <w:rsid w:val="000A6019"/>
    <w:rsid w:val="000A6600"/>
    <w:rsid w:val="000A66A5"/>
    <w:rsid w:val="000A67E5"/>
    <w:rsid w:val="000A6CE1"/>
    <w:rsid w:val="000A7A2C"/>
    <w:rsid w:val="000A7D9B"/>
    <w:rsid w:val="000B04A7"/>
    <w:rsid w:val="000B0AB1"/>
    <w:rsid w:val="000B0B16"/>
    <w:rsid w:val="000B0B69"/>
    <w:rsid w:val="000B12D8"/>
    <w:rsid w:val="000B1A3E"/>
    <w:rsid w:val="000B223E"/>
    <w:rsid w:val="000B4337"/>
    <w:rsid w:val="000B484F"/>
    <w:rsid w:val="000B4D9C"/>
    <w:rsid w:val="000B5B7F"/>
    <w:rsid w:val="000B6597"/>
    <w:rsid w:val="000B6D3E"/>
    <w:rsid w:val="000B7755"/>
    <w:rsid w:val="000B7E45"/>
    <w:rsid w:val="000C0D7D"/>
    <w:rsid w:val="000C1A79"/>
    <w:rsid w:val="000C216A"/>
    <w:rsid w:val="000C24BF"/>
    <w:rsid w:val="000C255C"/>
    <w:rsid w:val="000C26DB"/>
    <w:rsid w:val="000C2B60"/>
    <w:rsid w:val="000C380B"/>
    <w:rsid w:val="000C394D"/>
    <w:rsid w:val="000C3F43"/>
    <w:rsid w:val="000C44F1"/>
    <w:rsid w:val="000C5664"/>
    <w:rsid w:val="000C5A85"/>
    <w:rsid w:val="000C6491"/>
    <w:rsid w:val="000C73BA"/>
    <w:rsid w:val="000C7F1D"/>
    <w:rsid w:val="000D04AD"/>
    <w:rsid w:val="000D18B7"/>
    <w:rsid w:val="000D1994"/>
    <w:rsid w:val="000D20D5"/>
    <w:rsid w:val="000D2E6A"/>
    <w:rsid w:val="000D39CE"/>
    <w:rsid w:val="000D41A5"/>
    <w:rsid w:val="000D4BD1"/>
    <w:rsid w:val="000D513E"/>
    <w:rsid w:val="000D67F1"/>
    <w:rsid w:val="000D698E"/>
    <w:rsid w:val="000D78B2"/>
    <w:rsid w:val="000E013F"/>
    <w:rsid w:val="000E0936"/>
    <w:rsid w:val="000E0AC8"/>
    <w:rsid w:val="000E0EE5"/>
    <w:rsid w:val="000E1268"/>
    <w:rsid w:val="000E1AD6"/>
    <w:rsid w:val="000E1B96"/>
    <w:rsid w:val="000E28C9"/>
    <w:rsid w:val="000E28F1"/>
    <w:rsid w:val="000E3276"/>
    <w:rsid w:val="000E3417"/>
    <w:rsid w:val="000E377C"/>
    <w:rsid w:val="000E3880"/>
    <w:rsid w:val="000E4208"/>
    <w:rsid w:val="000E647B"/>
    <w:rsid w:val="000E73B3"/>
    <w:rsid w:val="000E7FF9"/>
    <w:rsid w:val="000F0110"/>
    <w:rsid w:val="000F0749"/>
    <w:rsid w:val="000F1B34"/>
    <w:rsid w:val="000F1C40"/>
    <w:rsid w:val="000F3941"/>
    <w:rsid w:val="000F3996"/>
    <w:rsid w:val="000F5034"/>
    <w:rsid w:val="000F65F9"/>
    <w:rsid w:val="000F675D"/>
    <w:rsid w:val="000F683D"/>
    <w:rsid w:val="000F6C81"/>
    <w:rsid w:val="000F6E22"/>
    <w:rsid w:val="000F77AA"/>
    <w:rsid w:val="000F7AB2"/>
    <w:rsid w:val="00100167"/>
    <w:rsid w:val="001006FA"/>
    <w:rsid w:val="00100833"/>
    <w:rsid w:val="00101726"/>
    <w:rsid w:val="00101762"/>
    <w:rsid w:val="001018A6"/>
    <w:rsid w:val="00102906"/>
    <w:rsid w:val="00102AF0"/>
    <w:rsid w:val="001033DB"/>
    <w:rsid w:val="00103656"/>
    <w:rsid w:val="00103E0C"/>
    <w:rsid w:val="001043A7"/>
    <w:rsid w:val="00105778"/>
    <w:rsid w:val="0010593B"/>
    <w:rsid w:val="00105D21"/>
    <w:rsid w:val="00105F96"/>
    <w:rsid w:val="00106CF1"/>
    <w:rsid w:val="00106DFE"/>
    <w:rsid w:val="001071E6"/>
    <w:rsid w:val="00107297"/>
    <w:rsid w:val="001072EA"/>
    <w:rsid w:val="00107305"/>
    <w:rsid w:val="001073D6"/>
    <w:rsid w:val="0010793B"/>
    <w:rsid w:val="00107C11"/>
    <w:rsid w:val="00107C28"/>
    <w:rsid w:val="00107D32"/>
    <w:rsid w:val="00107D7E"/>
    <w:rsid w:val="00107FF2"/>
    <w:rsid w:val="001103C9"/>
    <w:rsid w:val="00110DAA"/>
    <w:rsid w:val="001119FA"/>
    <w:rsid w:val="001121DC"/>
    <w:rsid w:val="00112EFC"/>
    <w:rsid w:val="00113F04"/>
    <w:rsid w:val="00113F05"/>
    <w:rsid w:val="00113F5A"/>
    <w:rsid w:val="00113F6D"/>
    <w:rsid w:val="00113F71"/>
    <w:rsid w:val="001143FC"/>
    <w:rsid w:val="0011516C"/>
    <w:rsid w:val="00115298"/>
    <w:rsid w:val="00115545"/>
    <w:rsid w:val="0011558B"/>
    <w:rsid w:val="0011635F"/>
    <w:rsid w:val="00116F9D"/>
    <w:rsid w:val="0012023B"/>
    <w:rsid w:val="00120C85"/>
    <w:rsid w:val="00120DB3"/>
    <w:rsid w:val="00121058"/>
    <w:rsid w:val="00121741"/>
    <w:rsid w:val="00121912"/>
    <w:rsid w:val="00121E05"/>
    <w:rsid w:val="001222D1"/>
    <w:rsid w:val="0012269B"/>
    <w:rsid w:val="0012298D"/>
    <w:rsid w:val="00123400"/>
    <w:rsid w:val="00124824"/>
    <w:rsid w:val="00124954"/>
    <w:rsid w:val="00124A66"/>
    <w:rsid w:val="00125513"/>
    <w:rsid w:val="0012644C"/>
    <w:rsid w:val="00126BF5"/>
    <w:rsid w:val="00127A2F"/>
    <w:rsid w:val="0013047B"/>
    <w:rsid w:val="00131053"/>
    <w:rsid w:val="001313E1"/>
    <w:rsid w:val="00131FAD"/>
    <w:rsid w:val="00131FFD"/>
    <w:rsid w:val="001328D6"/>
    <w:rsid w:val="00132A60"/>
    <w:rsid w:val="00132AD1"/>
    <w:rsid w:val="0013337D"/>
    <w:rsid w:val="0013347F"/>
    <w:rsid w:val="0013397F"/>
    <w:rsid w:val="00133AB1"/>
    <w:rsid w:val="00133E37"/>
    <w:rsid w:val="00133E53"/>
    <w:rsid w:val="0013490F"/>
    <w:rsid w:val="0013497D"/>
    <w:rsid w:val="00134EB2"/>
    <w:rsid w:val="001350EA"/>
    <w:rsid w:val="001360EE"/>
    <w:rsid w:val="001364A4"/>
    <w:rsid w:val="00136B9A"/>
    <w:rsid w:val="0013703D"/>
    <w:rsid w:val="001373EE"/>
    <w:rsid w:val="00137A47"/>
    <w:rsid w:val="00137AE9"/>
    <w:rsid w:val="00137B42"/>
    <w:rsid w:val="00137C6B"/>
    <w:rsid w:val="00137EB5"/>
    <w:rsid w:val="0014005D"/>
    <w:rsid w:val="0014036C"/>
    <w:rsid w:val="00140908"/>
    <w:rsid w:val="00140975"/>
    <w:rsid w:val="00141E7B"/>
    <w:rsid w:val="00142D25"/>
    <w:rsid w:val="00143FA7"/>
    <w:rsid w:val="0014628D"/>
    <w:rsid w:val="00146ABC"/>
    <w:rsid w:val="00150815"/>
    <w:rsid w:val="001509D4"/>
    <w:rsid w:val="00150CC2"/>
    <w:rsid w:val="00150D7B"/>
    <w:rsid w:val="00150E51"/>
    <w:rsid w:val="00153331"/>
    <w:rsid w:val="001535EE"/>
    <w:rsid w:val="00153DB0"/>
    <w:rsid w:val="001542F9"/>
    <w:rsid w:val="0015452B"/>
    <w:rsid w:val="00155665"/>
    <w:rsid w:val="00155E2F"/>
    <w:rsid w:val="00157D56"/>
    <w:rsid w:val="00161A8F"/>
    <w:rsid w:val="00161D54"/>
    <w:rsid w:val="001626C3"/>
    <w:rsid w:val="00162B67"/>
    <w:rsid w:val="00162E4B"/>
    <w:rsid w:val="0016370C"/>
    <w:rsid w:val="00163A99"/>
    <w:rsid w:val="00164693"/>
    <w:rsid w:val="001666BF"/>
    <w:rsid w:val="00166AFE"/>
    <w:rsid w:val="0016742D"/>
    <w:rsid w:val="00170583"/>
    <w:rsid w:val="0017091C"/>
    <w:rsid w:val="001711B3"/>
    <w:rsid w:val="00172C93"/>
    <w:rsid w:val="001734E9"/>
    <w:rsid w:val="00173E6A"/>
    <w:rsid w:val="00174101"/>
    <w:rsid w:val="001741FF"/>
    <w:rsid w:val="0017485F"/>
    <w:rsid w:val="00175109"/>
    <w:rsid w:val="001752B2"/>
    <w:rsid w:val="0017552A"/>
    <w:rsid w:val="001762D4"/>
    <w:rsid w:val="0017753B"/>
    <w:rsid w:val="00177779"/>
    <w:rsid w:val="00180435"/>
    <w:rsid w:val="00181492"/>
    <w:rsid w:val="00181712"/>
    <w:rsid w:val="0018219D"/>
    <w:rsid w:val="00182AE2"/>
    <w:rsid w:val="00183FAD"/>
    <w:rsid w:val="00184388"/>
    <w:rsid w:val="00184D4F"/>
    <w:rsid w:val="0018506A"/>
    <w:rsid w:val="001855F8"/>
    <w:rsid w:val="00185BD5"/>
    <w:rsid w:val="00186CCD"/>
    <w:rsid w:val="00187B0F"/>
    <w:rsid w:val="001908CA"/>
    <w:rsid w:val="00191038"/>
    <w:rsid w:val="00191348"/>
    <w:rsid w:val="001918E7"/>
    <w:rsid w:val="0019215E"/>
    <w:rsid w:val="0019426B"/>
    <w:rsid w:val="0019458F"/>
    <w:rsid w:val="00194D59"/>
    <w:rsid w:val="00195520"/>
    <w:rsid w:val="001956FA"/>
    <w:rsid w:val="00196518"/>
    <w:rsid w:val="001968A5"/>
    <w:rsid w:val="0019728E"/>
    <w:rsid w:val="001A0107"/>
    <w:rsid w:val="001A06C3"/>
    <w:rsid w:val="001A252B"/>
    <w:rsid w:val="001A2890"/>
    <w:rsid w:val="001A2CC8"/>
    <w:rsid w:val="001A326E"/>
    <w:rsid w:val="001A3EA6"/>
    <w:rsid w:val="001A4BB4"/>
    <w:rsid w:val="001A4CC9"/>
    <w:rsid w:val="001A510C"/>
    <w:rsid w:val="001A56BD"/>
    <w:rsid w:val="001A63B6"/>
    <w:rsid w:val="001A6C80"/>
    <w:rsid w:val="001A6DBC"/>
    <w:rsid w:val="001A6EB1"/>
    <w:rsid w:val="001A7287"/>
    <w:rsid w:val="001A7B1C"/>
    <w:rsid w:val="001B0934"/>
    <w:rsid w:val="001B0ADC"/>
    <w:rsid w:val="001B0D09"/>
    <w:rsid w:val="001B1073"/>
    <w:rsid w:val="001B1142"/>
    <w:rsid w:val="001B1AF1"/>
    <w:rsid w:val="001B2C1F"/>
    <w:rsid w:val="001B2C93"/>
    <w:rsid w:val="001B2E45"/>
    <w:rsid w:val="001B36D3"/>
    <w:rsid w:val="001B3B4C"/>
    <w:rsid w:val="001B3BFE"/>
    <w:rsid w:val="001B402A"/>
    <w:rsid w:val="001B47F5"/>
    <w:rsid w:val="001B4A40"/>
    <w:rsid w:val="001B501D"/>
    <w:rsid w:val="001B697C"/>
    <w:rsid w:val="001B6DEE"/>
    <w:rsid w:val="001B724E"/>
    <w:rsid w:val="001B79A1"/>
    <w:rsid w:val="001B7AAA"/>
    <w:rsid w:val="001B7DB6"/>
    <w:rsid w:val="001C0DD8"/>
    <w:rsid w:val="001C0F27"/>
    <w:rsid w:val="001C24B1"/>
    <w:rsid w:val="001C2A2A"/>
    <w:rsid w:val="001C3559"/>
    <w:rsid w:val="001C3F42"/>
    <w:rsid w:val="001C42D8"/>
    <w:rsid w:val="001C4311"/>
    <w:rsid w:val="001C49EC"/>
    <w:rsid w:val="001C50F7"/>
    <w:rsid w:val="001C6090"/>
    <w:rsid w:val="001D0245"/>
    <w:rsid w:val="001D11F9"/>
    <w:rsid w:val="001D2086"/>
    <w:rsid w:val="001D2AF2"/>
    <w:rsid w:val="001D2F32"/>
    <w:rsid w:val="001D32BA"/>
    <w:rsid w:val="001D3949"/>
    <w:rsid w:val="001D3CBE"/>
    <w:rsid w:val="001D5318"/>
    <w:rsid w:val="001D53B3"/>
    <w:rsid w:val="001D5A82"/>
    <w:rsid w:val="001D7636"/>
    <w:rsid w:val="001D7649"/>
    <w:rsid w:val="001D7BB0"/>
    <w:rsid w:val="001D7DAA"/>
    <w:rsid w:val="001E017F"/>
    <w:rsid w:val="001E088A"/>
    <w:rsid w:val="001E1872"/>
    <w:rsid w:val="001E22FF"/>
    <w:rsid w:val="001E30BB"/>
    <w:rsid w:val="001E33F1"/>
    <w:rsid w:val="001E40BB"/>
    <w:rsid w:val="001E5B8B"/>
    <w:rsid w:val="001E5CEE"/>
    <w:rsid w:val="001E6479"/>
    <w:rsid w:val="001E7D03"/>
    <w:rsid w:val="001F0611"/>
    <w:rsid w:val="001F0B2D"/>
    <w:rsid w:val="001F3BC2"/>
    <w:rsid w:val="001F3FD8"/>
    <w:rsid w:val="001F43E7"/>
    <w:rsid w:val="001F484E"/>
    <w:rsid w:val="001F48E7"/>
    <w:rsid w:val="001F49F7"/>
    <w:rsid w:val="001F58E5"/>
    <w:rsid w:val="001F63BF"/>
    <w:rsid w:val="001F64AF"/>
    <w:rsid w:val="001F6526"/>
    <w:rsid w:val="001F7BA3"/>
    <w:rsid w:val="002004A5"/>
    <w:rsid w:val="00200C09"/>
    <w:rsid w:val="002013FE"/>
    <w:rsid w:val="0020161E"/>
    <w:rsid w:val="00201647"/>
    <w:rsid w:val="00201F29"/>
    <w:rsid w:val="00202232"/>
    <w:rsid w:val="002038DA"/>
    <w:rsid w:val="00204280"/>
    <w:rsid w:val="00204C5A"/>
    <w:rsid w:val="00205071"/>
    <w:rsid w:val="0020533C"/>
    <w:rsid w:val="00205448"/>
    <w:rsid w:val="0020632F"/>
    <w:rsid w:val="00206715"/>
    <w:rsid w:val="002072C4"/>
    <w:rsid w:val="00207646"/>
    <w:rsid w:val="002076B8"/>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548"/>
    <w:rsid w:val="00217E6E"/>
    <w:rsid w:val="00221409"/>
    <w:rsid w:val="002219B3"/>
    <w:rsid w:val="002219C8"/>
    <w:rsid w:val="0022420A"/>
    <w:rsid w:val="0022480A"/>
    <w:rsid w:val="00224D5E"/>
    <w:rsid w:val="00224D79"/>
    <w:rsid w:val="00224EFF"/>
    <w:rsid w:val="0022543A"/>
    <w:rsid w:val="0022549A"/>
    <w:rsid w:val="00225C28"/>
    <w:rsid w:val="0022747D"/>
    <w:rsid w:val="0022770B"/>
    <w:rsid w:val="002278CF"/>
    <w:rsid w:val="002278D3"/>
    <w:rsid w:val="00227CBF"/>
    <w:rsid w:val="002306B4"/>
    <w:rsid w:val="002317E6"/>
    <w:rsid w:val="0023269D"/>
    <w:rsid w:val="00232979"/>
    <w:rsid w:val="00233033"/>
    <w:rsid w:val="002338FA"/>
    <w:rsid w:val="002346C8"/>
    <w:rsid w:val="00234844"/>
    <w:rsid w:val="00235190"/>
    <w:rsid w:val="002358B9"/>
    <w:rsid w:val="00236B56"/>
    <w:rsid w:val="00236BB5"/>
    <w:rsid w:val="00236EC9"/>
    <w:rsid w:val="002370AF"/>
    <w:rsid w:val="002373F6"/>
    <w:rsid w:val="00237C63"/>
    <w:rsid w:val="00240215"/>
    <w:rsid w:val="00240284"/>
    <w:rsid w:val="002407CF"/>
    <w:rsid w:val="00240884"/>
    <w:rsid w:val="00240C3D"/>
    <w:rsid w:val="00241173"/>
    <w:rsid w:val="0024192D"/>
    <w:rsid w:val="00241C9D"/>
    <w:rsid w:val="0024218F"/>
    <w:rsid w:val="0024354D"/>
    <w:rsid w:val="00243B49"/>
    <w:rsid w:val="0024401F"/>
    <w:rsid w:val="00245B01"/>
    <w:rsid w:val="0024664F"/>
    <w:rsid w:val="00246735"/>
    <w:rsid w:val="0024682F"/>
    <w:rsid w:val="00246C5D"/>
    <w:rsid w:val="00247F7E"/>
    <w:rsid w:val="002509F9"/>
    <w:rsid w:val="00250A10"/>
    <w:rsid w:val="00251AC1"/>
    <w:rsid w:val="00251DBA"/>
    <w:rsid w:val="0025267E"/>
    <w:rsid w:val="002526EA"/>
    <w:rsid w:val="002529C9"/>
    <w:rsid w:val="002533A9"/>
    <w:rsid w:val="00253A28"/>
    <w:rsid w:val="00253BD0"/>
    <w:rsid w:val="0025460F"/>
    <w:rsid w:val="00254D85"/>
    <w:rsid w:val="00255A74"/>
    <w:rsid w:val="00255EC5"/>
    <w:rsid w:val="00255ED5"/>
    <w:rsid w:val="002564F1"/>
    <w:rsid w:val="00256A58"/>
    <w:rsid w:val="00256F7F"/>
    <w:rsid w:val="002572E8"/>
    <w:rsid w:val="00257367"/>
    <w:rsid w:val="002577DD"/>
    <w:rsid w:val="00257821"/>
    <w:rsid w:val="002601EA"/>
    <w:rsid w:val="00260ACD"/>
    <w:rsid w:val="002631DF"/>
    <w:rsid w:val="00263C49"/>
    <w:rsid w:val="00264EFF"/>
    <w:rsid w:val="002651B8"/>
    <w:rsid w:val="0026556A"/>
    <w:rsid w:val="00267E2D"/>
    <w:rsid w:val="002716B5"/>
    <w:rsid w:val="0027170A"/>
    <w:rsid w:val="00271FBC"/>
    <w:rsid w:val="00272302"/>
    <w:rsid w:val="00272994"/>
    <w:rsid w:val="00272A84"/>
    <w:rsid w:val="00272ECF"/>
    <w:rsid w:val="00273BC6"/>
    <w:rsid w:val="00273CF4"/>
    <w:rsid w:val="002752DA"/>
    <w:rsid w:val="00275AEA"/>
    <w:rsid w:val="00275E50"/>
    <w:rsid w:val="002764C0"/>
    <w:rsid w:val="0027728E"/>
    <w:rsid w:val="00277A89"/>
    <w:rsid w:val="00277B44"/>
    <w:rsid w:val="00277DE1"/>
    <w:rsid w:val="00277EFD"/>
    <w:rsid w:val="00281B97"/>
    <w:rsid w:val="00281C41"/>
    <w:rsid w:val="0028304A"/>
    <w:rsid w:val="0028325C"/>
    <w:rsid w:val="002833F0"/>
    <w:rsid w:val="00283508"/>
    <w:rsid w:val="002836F0"/>
    <w:rsid w:val="00283D6A"/>
    <w:rsid w:val="00284E0D"/>
    <w:rsid w:val="002857D1"/>
    <w:rsid w:val="00285ABE"/>
    <w:rsid w:val="00285F8D"/>
    <w:rsid w:val="0028611D"/>
    <w:rsid w:val="00287B9F"/>
    <w:rsid w:val="00287CE5"/>
    <w:rsid w:val="002904C6"/>
    <w:rsid w:val="00290E9C"/>
    <w:rsid w:val="00290FA9"/>
    <w:rsid w:val="002910EE"/>
    <w:rsid w:val="00291EB5"/>
    <w:rsid w:val="00291FB4"/>
    <w:rsid w:val="00292C8D"/>
    <w:rsid w:val="00292E25"/>
    <w:rsid w:val="00293493"/>
    <w:rsid w:val="00293B73"/>
    <w:rsid w:val="0029524E"/>
    <w:rsid w:val="00296A66"/>
    <w:rsid w:val="00296F18"/>
    <w:rsid w:val="002975CE"/>
    <w:rsid w:val="002977E3"/>
    <w:rsid w:val="00297AE1"/>
    <w:rsid w:val="00297E5B"/>
    <w:rsid w:val="002A16D4"/>
    <w:rsid w:val="002A177A"/>
    <w:rsid w:val="002A1D14"/>
    <w:rsid w:val="002A242F"/>
    <w:rsid w:val="002A3C78"/>
    <w:rsid w:val="002A3ED0"/>
    <w:rsid w:val="002A4379"/>
    <w:rsid w:val="002A4796"/>
    <w:rsid w:val="002A5F77"/>
    <w:rsid w:val="002A638C"/>
    <w:rsid w:val="002A68E6"/>
    <w:rsid w:val="002A7045"/>
    <w:rsid w:val="002A7FD6"/>
    <w:rsid w:val="002B192A"/>
    <w:rsid w:val="002B1C78"/>
    <w:rsid w:val="002B1EFE"/>
    <w:rsid w:val="002B2CB3"/>
    <w:rsid w:val="002B2E50"/>
    <w:rsid w:val="002B3713"/>
    <w:rsid w:val="002B392C"/>
    <w:rsid w:val="002B3BFD"/>
    <w:rsid w:val="002B401E"/>
    <w:rsid w:val="002B447B"/>
    <w:rsid w:val="002B490F"/>
    <w:rsid w:val="002B4BFD"/>
    <w:rsid w:val="002B58B5"/>
    <w:rsid w:val="002B640D"/>
    <w:rsid w:val="002B6464"/>
    <w:rsid w:val="002B6E2A"/>
    <w:rsid w:val="002B7088"/>
    <w:rsid w:val="002B7543"/>
    <w:rsid w:val="002C0524"/>
    <w:rsid w:val="002C0E0E"/>
    <w:rsid w:val="002C1145"/>
    <w:rsid w:val="002C1B74"/>
    <w:rsid w:val="002C1E46"/>
    <w:rsid w:val="002C22B3"/>
    <w:rsid w:val="002C4DFD"/>
    <w:rsid w:val="002C508B"/>
    <w:rsid w:val="002C58ED"/>
    <w:rsid w:val="002C5AAD"/>
    <w:rsid w:val="002C5D20"/>
    <w:rsid w:val="002C6A21"/>
    <w:rsid w:val="002C6ABC"/>
    <w:rsid w:val="002C6C23"/>
    <w:rsid w:val="002C77A5"/>
    <w:rsid w:val="002C7D3C"/>
    <w:rsid w:val="002D0136"/>
    <w:rsid w:val="002D08A7"/>
    <w:rsid w:val="002D0BD7"/>
    <w:rsid w:val="002D1747"/>
    <w:rsid w:val="002D234B"/>
    <w:rsid w:val="002D2398"/>
    <w:rsid w:val="002D254A"/>
    <w:rsid w:val="002D322A"/>
    <w:rsid w:val="002D425B"/>
    <w:rsid w:val="002D4DD2"/>
    <w:rsid w:val="002D5032"/>
    <w:rsid w:val="002D566A"/>
    <w:rsid w:val="002D5CEF"/>
    <w:rsid w:val="002D5F1A"/>
    <w:rsid w:val="002D65CE"/>
    <w:rsid w:val="002D6771"/>
    <w:rsid w:val="002E080A"/>
    <w:rsid w:val="002E08A2"/>
    <w:rsid w:val="002E1DD8"/>
    <w:rsid w:val="002E2661"/>
    <w:rsid w:val="002E2887"/>
    <w:rsid w:val="002E5250"/>
    <w:rsid w:val="002E5611"/>
    <w:rsid w:val="002E5DA8"/>
    <w:rsid w:val="002E6922"/>
    <w:rsid w:val="002E6A01"/>
    <w:rsid w:val="002E6FC5"/>
    <w:rsid w:val="002E70CF"/>
    <w:rsid w:val="002F0760"/>
    <w:rsid w:val="002F3137"/>
    <w:rsid w:val="002F318A"/>
    <w:rsid w:val="002F3230"/>
    <w:rsid w:val="002F32A6"/>
    <w:rsid w:val="002F3BCE"/>
    <w:rsid w:val="002F43F7"/>
    <w:rsid w:val="002F4FCB"/>
    <w:rsid w:val="002F567C"/>
    <w:rsid w:val="002F649E"/>
    <w:rsid w:val="002F6A5F"/>
    <w:rsid w:val="002F6F55"/>
    <w:rsid w:val="002F78C2"/>
    <w:rsid w:val="002F7D4D"/>
    <w:rsid w:val="00300E37"/>
    <w:rsid w:val="00303EF1"/>
    <w:rsid w:val="00303F31"/>
    <w:rsid w:val="003046BB"/>
    <w:rsid w:val="00304D31"/>
    <w:rsid w:val="00305036"/>
    <w:rsid w:val="00305F60"/>
    <w:rsid w:val="0030617F"/>
    <w:rsid w:val="00306626"/>
    <w:rsid w:val="003066F9"/>
    <w:rsid w:val="0030682F"/>
    <w:rsid w:val="00310201"/>
    <w:rsid w:val="00311E7F"/>
    <w:rsid w:val="0031209C"/>
    <w:rsid w:val="00312A9E"/>
    <w:rsid w:val="00312C60"/>
    <w:rsid w:val="003132C2"/>
    <w:rsid w:val="00313312"/>
    <w:rsid w:val="00313B7C"/>
    <w:rsid w:val="003147F8"/>
    <w:rsid w:val="003149CC"/>
    <w:rsid w:val="00314E90"/>
    <w:rsid w:val="003161C2"/>
    <w:rsid w:val="003164EB"/>
    <w:rsid w:val="00316781"/>
    <w:rsid w:val="00316B29"/>
    <w:rsid w:val="003205D3"/>
    <w:rsid w:val="00320840"/>
    <w:rsid w:val="00322470"/>
    <w:rsid w:val="0032287C"/>
    <w:rsid w:val="0032296C"/>
    <w:rsid w:val="00323200"/>
    <w:rsid w:val="00323811"/>
    <w:rsid w:val="003238AC"/>
    <w:rsid w:val="003238D3"/>
    <w:rsid w:val="00323EC9"/>
    <w:rsid w:val="00324AA5"/>
    <w:rsid w:val="00324CF3"/>
    <w:rsid w:val="00325333"/>
    <w:rsid w:val="00325917"/>
    <w:rsid w:val="00326907"/>
    <w:rsid w:val="00326BE0"/>
    <w:rsid w:val="00326F9A"/>
    <w:rsid w:val="00326FD7"/>
    <w:rsid w:val="003271FF"/>
    <w:rsid w:val="003273D7"/>
    <w:rsid w:val="00327477"/>
    <w:rsid w:val="0032756A"/>
    <w:rsid w:val="00327673"/>
    <w:rsid w:val="00327D5A"/>
    <w:rsid w:val="00327EA0"/>
    <w:rsid w:val="00327EC5"/>
    <w:rsid w:val="00330D8F"/>
    <w:rsid w:val="0033186F"/>
    <w:rsid w:val="00332243"/>
    <w:rsid w:val="00332781"/>
    <w:rsid w:val="0033377B"/>
    <w:rsid w:val="0033620E"/>
    <w:rsid w:val="00336926"/>
    <w:rsid w:val="00336E56"/>
    <w:rsid w:val="00337056"/>
    <w:rsid w:val="003405FC"/>
    <w:rsid w:val="003409B3"/>
    <w:rsid w:val="00340DC4"/>
    <w:rsid w:val="00341E2F"/>
    <w:rsid w:val="00343B7D"/>
    <w:rsid w:val="0034423B"/>
    <w:rsid w:val="00344DFC"/>
    <w:rsid w:val="00345020"/>
    <w:rsid w:val="003452A5"/>
    <w:rsid w:val="00345C38"/>
    <w:rsid w:val="003460CD"/>
    <w:rsid w:val="00346575"/>
    <w:rsid w:val="003476BA"/>
    <w:rsid w:val="00347AF7"/>
    <w:rsid w:val="00350FA6"/>
    <w:rsid w:val="00351E5C"/>
    <w:rsid w:val="0035237F"/>
    <w:rsid w:val="00352C6E"/>
    <w:rsid w:val="00354A95"/>
    <w:rsid w:val="00355189"/>
    <w:rsid w:val="003555FB"/>
    <w:rsid w:val="00356F77"/>
    <w:rsid w:val="003575C2"/>
    <w:rsid w:val="00357A8F"/>
    <w:rsid w:val="00357C55"/>
    <w:rsid w:val="00360216"/>
    <w:rsid w:val="00360DF1"/>
    <w:rsid w:val="00361794"/>
    <w:rsid w:val="00361AEC"/>
    <w:rsid w:val="00361D64"/>
    <w:rsid w:val="00362126"/>
    <w:rsid w:val="00362254"/>
    <w:rsid w:val="003625D7"/>
    <w:rsid w:val="00363522"/>
    <w:rsid w:val="003637B3"/>
    <w:rsid w:val="00364235"/>
    <w:rsid w:val="00364F9C"/>
    <w:rsid w:val="0036550A"/>
    <w:rsid w:val="00365B03"/>
    <w:rsid w:val="00366723"/>
    <w:rsid w:val="003668C2"/>
    <w:rsid w:val="00366D48"/>
    <w:rsid w:val="00366E0A"/>
    <w:rsid w:val="0036765C"/>
    <w:rsid w:val="00370600"/>
    <w:rsid w:val="003707F3"/>
    <w:rsid w:val="00370B86"/>
    <w:rsid w:val="003716B3"/>
    <w:rsid w:val="00372D79"/>
    <w:rsid w:val="003740A2"/>
    <w:rsid w:val="00374EF8"/>
    <w:rsid w:val="00375CA8"/>
    <w:rsid w:val="00376D1B"/>
    <w:rsid w:val="003804CC"/>
    <w:rsid w:val="00380CD4"/>
    <w:rsid w:val="00380E34"/>
    <w:rsid w:val="00382035"/>
    <w:rsid w:val="00382281"/>
    <w:rsid w:val="00382856"/>
    <w:rsid w:val="00383CF0"/>
    <w:rsid w:val="00384711"/>
    <w:rsid w:val="00385A21"/>
    <w:rsid w:val="00385B0B"/>
    <w:rsid w:val="00385C01"/>
    <w:rsid w:val="00385E02"/>
    <w:rsid w:val="00386416"/>
    <w:rsid w:val="00386FE8"/>
    <w:rsid w:val="003873FD"/>
    <w:rsid w:val="00387700"/>
    <w:rsid w:val="0039080F"/>
    <w:rsid w:val="00390F11"/>
    <w:rsid w:val="00391499"/>
    <w:rsid w:val="003924BE"/>
    <w:rsid w:val="00392EC9"/>
    <w:rsid w:val="0039358B"/>
    <w:rsid w:val="00393906"/>
    <w:rsid w:val="00393BF2"/>
    <w:rsid w:val="00393E8F"/>
    <w:rsid w:val="0039464C"/>
    <w:rsid w:val="00394B59"/>
    <w:rsid w:val="00394F48"/>
    <w:rsid w:val="003955A8"/>
    <w:rsid w:val="0039568B"/>
    <w:rsid w:val="003958C1"/>
    <w:rsid w:val="00395AC6"/>
    <w:rsid w:val="00396581"/>
    <w:rsid w:val="00396AB6"/>
    <w:rsid w:val="00396FC8"/>
    <w:rsid w:val="003973B7"/>
    <w:rsid w:val="003A0925"/>
    <w:rsid w:val="003A09CC"/>
    <w:rsid w:val="003A127A"/>
    <w:rsid w:val="003A161A"/>
    <w:rsid w:val="003A1EF2"/>
    <w:rsid w:val="003A2952"/>
    <w:rsid w:val="003A2953"/>
    <w:rsid w:val="003A2B17"/>
    <w:rsid w:val="003A3FD8"/>
    <w:rsid w:val="003A4A6E"/>
    <w:rsid w:val="003A5EBA"/>
    <w:rsid w:val="003A6C37"/>
    <w:rsid w:val="003A6D26"/>
    <w:rsid w:val="003A73AD"/>
    <w:rsid w:val="003A78EC"/>
    <w:rsid w:val="003B0CBB"/>
    <w:rsid w:val="003B0E47"/>
    <w:rsid w:val="003B1F40"/>
    <w:rsid w:val="003B2336"/>
    <w:rsid w:val="003B26DF"/>
    <w:rsid w:val="003B4186"/>
    <w:rsid w:val="003B4670"/>
    <w:rsid w:val="003B4A98"/>
    <w:rsid w:val="003B4BAB"/>
    <w:rsid w:val="003B4DE6"/>
    <w:rsid w:val="003B4E74"/>
    <w:rsid w:val="003B53C3"/>
    <w:rsid w:val="003B5766"/>
    <w:rsid w:val="003B639B"/>
    <w:rsid w:val="003B6865"/>
    <w:rsid w:val="003B6E11"/>
    <w:rsid w:val="003B7772"/>
    <w:rsid w:val="003B7C4F"/>
    <w:rsid w:val="003B7D08"/>
    <w:rsid w:val="003B7D2D"/>
    <w:rsid w:val="003C0EE0"/>
    <w:rsid w:val="003C14AE"/>
    <w:rsid w:val="003C1CCC"/>
    <w:rsid w:val="003C1DF9"/>
    <w:rsid w:val="003C22E4"/>
    <w:rsid w:val="003C2952"/>
    <w:rsid w:val="003C2C4F"/>
    <w:rsid w:val="003C2DD3"/>
    <w:rsid w:val="003C3EA5"/>
    <w:rsid w:val="003C43E5"/>
    <w:rsid w:val="003C459B"/>
    <w:rsid w:val="003C4F5A"/>
    <w:rsid w:val="003C5708"/>
    <w:rsid w:val="003C6CA6"/>
    <w:rsid w:val="003C6CC9"/>
    <w:rsid w:val="003C6D5C"/>
    <w:rsid w:val="003C72B7"/>
    <w:rsid w:val="003C730A"/>
    <w:rsid w:val="003D08C0"/>
    <w:rsid w:val="003D0B95"/>
    <w:rsid w:val="003D144C"/>
    <w:rsid w:val="003D1912"/>
    <w:rsid w:val="003D1C79"/>
    <w:rsid w:val="003D37E5"/>
    <w:rsid w:val="003D3BAF"/>
    <w:rsid w:val="003D3C5D"/>
    <w:rsid w:val="003D42B8"/>
    <w:rsid w:val="003D4B19"/>
    <w:rsid w:val="003D5360"/>
    <w:rsid w:val="003D5B25"/>
    <w:rsid w:val="003D5BFF"/>
    <w:rsid w:val="003D6793"/>
    <w:rsid w:val="003D6B0C"/>
    <w:rsid w:val="003D728D"/>
    <w:rsid w:val="003D792F"/>
    <w:rsid w:val="003E056B"/>
    <w:rsid w:val="003E0620"/>
    <w:rsid w:val="003E08F3"/>
    <w:rsid w:val="003E0F50"/>
    <w:rsid w:val="003E1345"/>
    <w:rsid w:val="003E19A2"/>
    <w:rsid w:val="003E1CD2"/>
    <w:rsid w:val="003E2199"/>
    <w:rsid w:val="003E255D"/>
    <w:rsid w:val="003E2641"/>
    <w:rsid w:val="003E340F"/>
    <w:rsid w:val="003E3AEC"/>
    <w:rsid w:val="003E3B31"/>
    <w:rsid w:val="003E4219"/>
    <w:rsid w:val="003E489D"/>
    <w:rsid w:val="003E58B6"/>
    <w:rsid w:val="003E5C3E"/>
    <w:rsid w:val="003E5F49"/>
    <w:rsid w:val="003E5F4B"/>
    <w:rsid w:val="003E68DE"/>
    <w:rsid w:val="003E6F7D"/>
    <w:rsid w:val="003E7235"/>
    <w:rsid w:val="003E7C54"/>
    <w:rsid w:val="003E7D73"/>
    <w:rsid w:val="003F07D9"/>
    <w:rsid w:val="003F1A74"/>
    <w:rsid w:val="003F1F4E"/>
    <w:rsid w:val="003F220C"/>
    <w:rsid w:val="003F25DC"/>
    <w:rsid w:val="003F26CC"/>
    <w:rsid w:val="003F38AB"/>
    <w:rsid w:val="003F3C12"/>
    <w:rsid w:val="003F3EBA"/>
    <w:rsid w:val="003F4AFE"/>
    <w:rsid w:val="003F59EE"/>
    <w:rsid w:val="003F63B1"/>
    <w:rsid w:val="003F69FF"/>
    <w:rsid w:val="003F6A91"/>
    <w:rsid w:val="003F6C1E"/>
    <w:rsid w:val="003F6E26"/>
    <w:rsid w:val="003F77CE"/>
    <w:rsid w:val="00400ABB"/>
    <w:rsid w:val="00400DEA"/>
    <w:rsid w:val="0040145E"/>
    <w:rsid w:val="00401795"/>
    <w:rsid w:val="00401942"/>
    <w:rsid w:val="00401C6F"/>
    <w:rsid w:val="00401DD9"/>
    <w:rsid w:val="0040314A"/>
    <w:rsid w:val="00403A4F"/>
    <w:rsid w:val="00404773"/>
    <w:rsid w:val="00404DDF"/>
    <w:rsid w:val="00404E9E"/>
    <w:rsid w:val="00404F04"/>
    <w:rsid w:val="00405028"/>
    <w:rsid w:val="0040546C"/>
    <w:rsid w:val="00405BBE"/>
    <w:rsid w:val="00405F61"/>
    <w:rsid w:val="00406689"/>
    <w:rsid w:val="00406810"/>
    <w:rsid w:val="00406B27"/>
    <w:rsid w:val="00407882"/>
    <w:rsid w:val="00407987"/>
    <w:rsid w:val="004103E0"/>
    <w:rsid w:val="00410B96"/>
    <w:rsid w:val="00410E90"/>
    <w:rsid w:val="00411472"/>
    <w:rsid w:val="00411784"/>
    <w:rsid w:val="00412183"/>
    <w:rsid w:val="00412767"/>
    <w:rsid w:val="004127AE"/>
    <w:rsid w:val="00412A2F"/>
    <w:rsid w:val="004130DC"/>
    <w:rsid w:val="00413612"/>
    <w:rsid w:val="00414975"/>
    <w:rsid w:val="00414F17"/>
    <w:rsid w:val="00415785"/>
    <w:rsid w:val="0041583B"/>
    <w:rsid w:val="00415F16"/>
    <w:rsid w:val="00416024"/>
    <w:rsid w:val="004161AF"/>
    <w:rsid w:val="00416697"/>
    <w:rsid w:val="00416C60"/>
    <w:rsid w:val="00417019"/>
    <w:rsid w:val="00417456"/>
    <w:rsid w:val="00417BA1"/>
    <w:rsid w:val="00420AB5"/>
    <w:rsid w:val="00420DDE"/>
    <w:rsid w:val="004215CC"/>
    <w:rsid w:val="004218F6"/>
    <w:rsid w:val="00421CD0"/>
    <w:rsid w:val="0042231D"/>
    <w:rsid w:val="0042239C"/>
    <w:rsid w:val="00422813"/>
    <w:rsid w:val="00423540"/>
    <w:rsid w:val="0042404B"/>
    <w:rsid w:val="00424264"/>
    <w:rsid w:val="00424A6D"/>
    <w:rsid w:val="00424CF7"/>
    <w:rsid w:val="0042541E"/>
    <w:rsid w:val="00425D13"/>
    <w:rsid w:val="00425D87"/>
    <w:rsid w:val="00425E5E"/>
    <w:rsid w:val="004267A7"/>
    <w:rsid w:val="004277D3"/>
    <w:rsid w:val="004309D7"/>
    <w:rsid w:val="00430EE3"/>
    <w:rsid w:val="00431F00"/>
    <w:rsid w:val="00432442"/>
    <w:rsid w:val="004326A4"/>
    <w:rsid w:val="004338D5"/>
    <w:rsid w:val="0043475B"/>
    <w:rsid w:val="004348CA"/>
    <w:rsid w:val="0043582F"/>
    <w:rsid w:val="00435CAE"/>
    <w:rsid w:val="00435DA5"/>
    <w:rsid w:val="00437E39"/>
    <w:rsid w:val="004406B7"/>
    <w:rsid w:val="00440BD7"/>
    <w:rsid w:val="004426D6"/>
    <w:rsid w:val="004432A6"/>
    <w:rsid w:val="004433AF"/>
    <w:rsid w:val="00443B6F"/>
    <w:rsid w:val="00445292"/>
    <w:rsid w:val="0044538F"/>
    <w:rsid w:val="00445642"/>
    <w:rsid w:val="00446226"/>
    <w:rsid w:val="004465DC"/>
    <w:rsid w:val="004468F1"/>
    <w:rsid w:val="00447B63"/>
    <w:rsid w:val="00447CB0"/>
    <w:rsid w:val="00447D52"/>
    <w:rsid w:val="0045000F"/>
    <w:rsid w:val="00451131"/>
    <w:rsid w:val="00452144"/>
    <w:rsid w:val="00453DBC"/>
    <w:rsid w:val="004543B7"/>
    <w:rsid w:val="00454925"/>
    <w:rsid w:val="00454B24"/>
    <w:rsid w:val="00454B50"/>
    <w:rsid w:val="00454B59"/>
    <w:rsid w:val="004550A9"/>
    <w:rsid w:val="0045592E"/>
    <w:rsid w:val="00456512"/>
    <w:rsid w:val="004577CC"/>
    <w:rsid w:val="00457CA7"/>
    <w:rsid w:val="00457D87"/>
    <w:rsid w:val="00457F92"/>
    <w:rsid w:val="00460BB6"/>
    <w:rsid w:val="0046143E"/>
    <w:rsid w:val="00462047"/>
    <w:rsid w:val="00463677"/>
    <w:rsid w:val="00463BD8"/>
    <w:rsid w:val="00464000"/>
    <w:rsid w:val="0046486C"/>
    <w:rsid w:val="004656A0"/>
    <w:rsid w:val="004656F0"/>
    <w:rsid w:val="00465E59"/>
    <w:rsid w:val="00466691"/>
    <w:rsid w:val="00467851"/>
    <w:rsid w:val="0047002D"/>
    <w:rsid w:val="00470959"/>
    <w:rsid w:val="00470D45"/>
    <w:rsid w:val="00470EFD"/>
    <w:rsid w:val="00471040"/>
    <w:rsid w:val="00471459"/>
    <w:rsid w:val="00471EFE"/>
    <w:rsid w:val="004723B7"/>
    <w:rsid w:val="00473786"/>
    <w:rsid w:val="00474428"/>
    <w:rsid w:val="00474928"/>
    <w:rsid w:val="00475263"/>
    <w:rsid w:val="0047532D"/>
    <w:rsid w:val="004756FB"/>
    <w:rsid w:val="004765B4"/>
    <w:rsid w:val="0048032C"/>
    <w:rsid w:val="004808A7"/>
    <w:rsid w:val="004813B4"/>
    <w:rsid w:val="00483E89"/>
    <w:rsid w:val="0048403F"/>
    <w:rsid w:val="004840AB"/>
    <w:rsid w:val="0048487D"/>
    <w:rsid w:val="0048493F"/>
    <w:rsid w:val="00485653"/>
    <w:rsid w:val="00486397"/>
    <w:rsid w:val="0048644C"/>
    <w:rsid w:val="00486E62"/>
    <w:rsid w:val="004875AD"/>
    <w:rsid w:val="0049112C"/>
    <w:rsid w:val="0049119C"/>
    <w:rsid w:val="00491747"/>
    <w:rsid w:val="004919A4"/>
    <w:rsid w:val="00491AED"/>
    <w:rsid w:val="004926C1"/>
    <w:rsid w:val="00492C06"/>
    <w:rsid w:val="00492F8F"/>
    <w:rsid w:val="00493336"/>
    <w:rsid w:val="004938F1"/>
    <w:rsid w:val="00493EDE"/>
    <w:rsid w:val="00494545"/>
    <w:rsid w:val="00495E19"/>
    <w:rsid w:val="00495EB3"/>
    <w:rsid w:val="00495FD2"/>
    <w:rsid w:val="004960C1"/>
    <w:rsid w:val="00497823"/>
    <w:rsid w:val="00497846"/>
    <w:rsid w:val="00497F82"/>
    <w:rsid w:val="004A0717"/>
    <w:rsid w:val="004A0B47"/>
    <w:rsid w:val="004A119E"/>
    <w:rsid w:val="004A14D0"/>
    <w:rsid w:val="004A22BB"/>
    <w:rsid w:val="004A2E0C"/>
    <w:rsid w:val="004A37CF"/>
    <w:rsid w:val="004A44F5"/>
    <w:rsid w:val="004A4664"/>
    <w:rsid w:val="004A48D7"/>
    <w:rsid w:val="004A5DB7"/>
    <w:rsid w:val="004A5FE4"/>
    <w:rsid w:val="004A631F"/>
    <w:rsid w:val="004A6878"/>
    <w:rsid w:val="004B0801"/>
    <w:rsid w:val="004B0AAF"/>
    <w:rsid w:val="004B0EC1"/>
    <w:rsid w:val="004B1531"/>
    <w:rsid w:val="004B1BE8"/>
    <w:rsid w:val="004B1EDF"/>
    <w:rsid w:val="004B2361"/>
    <w:rsid w:val="004B298E"/>
    <w:rsid w:val="004B2E4C"/>
    <w:rsid w:val="004B2E54"/>
    <w:rsid w:val="004B3037"/>
    <w:rsid w:val="004B3167"/>
    <w:rsid w:val="004B3212"/>
    <w:rsid w:val="004B4A0A"/>
    <w:rsid w:val="004B4EB4"/>
    <w:rsid w:val="004B56AE"/>
    <w:rsid w:val="004B5E1C"/>
    <w:rsid w:val="004B6399"/>
    <w:rsid w:val="004B72EC"/>
    <w:rsid w:val="004B74E8"/>
    <w:rsid w:val="004C0579"/>
    <w:rsid w:val="004C138F"/>
    <w:rsid w:val="004C15DD"/>
    <w:rsid w:val="004C165D"/>
    <w:rsid w:val="004C2CB8"/>
    <w:rsid w:val="004C2E6C"/>
    <w:rsid w:val="004C2F0F"/>
    <w:rsid w:val="004C3186"/>
    <w:rsid w:val="004C319E"/>
    <w:rsid w:val="004C3613"/>
    <w:rsid w:val="004C38A6"/>
    <w:rsid w:val="004C44CE"/>
    <w:rsid w:val="004C4C1C"/>
    <w:rsid w:val="004C50B2"/>
    <w:rsid w:val="004C5B48"/>
    <w:rsid w:val="004C5E86"/>
    <w:rsid w:val="004C5EE8"/>
    <w:rsid w:val="004C615D"/>
    <w:rsid w:val="004C6B00"/>
    <w:rsid w:val="004C725E"/>
    <w:rsid w:val="004C7D79"/>
    <w:rsid w:val="004D078B"/>
    <w:rsid w:val="004D0836"/>
    <w:rsid w:val="004D2ABB"/>
    <w:rsid w:val="004D32AA"/>
    <w:rsid w:val="004D36B5"/>
    <w:rsid w:val="004D51F7"/>
    <w:rsid w:val="004D54D0"/>
    <w:rsid w:val="004D5CC5"/>
    <w:rsid w:val="004D5F7F"/>
    <w:rsid w:val="004D68FE"/>
    <w:rsid w:val="004D6B9D"/>
    <w:rsid w:val="004D7293"/>
    <w:rsid w:val="004D7A83"/>
    <w:rsid w:val="004D7FB8"/>
    <w:rsid w:val="004E06DF"/>
    <w:rsid w:val="004E097B"/>
    <w:rsid w:val="004E0BB3"/>
    <w:rsid w:val="004E2054"/>
    <w:rsid w:val="004E243E"/>
    <w:rsid w:val="004E292D"/>
    <w:rsid w:val="004E3128"/>
    <w:rsid w:val="004E3404"/>
    <w:rsid w:val="004E3BA7"/>
    <w:rsid w:val="004E415E"/>
    <w:rsid w:val="004E4546"/>
    <w:rsid w:val="004E4DBE"/>
    <w:rsid w:val="004E5A07"/>
    <w:rsid w:val="004E606E"/>
    <w:rsid w:val="004E6536"/>
    <w:rsid w:val="004E6AA3"/>
    <w:rsid w:val="004E706A"/>
    <w:rsid w:val="004E70E6"/>
    <w:rsid w:val="004E721C"/>
    <w:rsid w:val="004E752B"/>
    <w:rsid w:val="004E7BBF"/>
    <w:rsid w:val="004F0A06"/>
    <w:rsid w:val="004F0EB7"/>
    <w:rsid w:val="004F1C01"/>
    <w:rsid w:val="004F265C"/>
    <w:rsid w:val="004F2CCA"/>
    <w:rsid w:val="004F2CE9"/>
    <w:rsid w:val="004F2D0F"/>
    <w:rsid w:val="004F2F7F"/>
    <w:rsid w:val="004F3BD6"/>
    <w:rsid w:val="004F3CEA"/>
    <w:rsid w:val="004F4067"/>
    <w:rsid w:val="004F450C"/>
    <w:rsid w:val="004F4A4D"/>
    <w:rsid w:val="004F4C36"/>
    <w:rsid w:val="004F4E5A"/>
    <w:rsid w:val="004F504D"/>
    <w:rsid w:val="004F5B02"/>
    <w:rsid w:val="004F6193"/>
    <w:rsid w:val="004F76B1"/>
    <w:rsid w:val="004F794F"/>
    <w:rsid w:val="005001E9"/>
    <w:rsid w:val="0050064E"/>
    <w:rsid w:val="005015AC"/>
    <w:rsid w:val="0050176F"/>
    <w:rsid w:val="00501B5A"/>
    <w:rsid w:val="00501BDF"/>
    <w:rsid w:val="00502F5C"/>
    <w:rsid w:val="005031E6"/>
    <w:rsid w:val="0050386D"/>
    <w:rsid w:val="00503955"/>
    <w:rsid w:val="00503AB7"/>
    <w:rsid w:val="00504E2A"/>
    <w:rsid w:val="0050655E"/>
    <w:rsid w:val="0050664E"/>
    <w:rsid w:val="005069C7"/>
    <w:rsid w:val="00506CF2"/>
    <w:rsid w:val="00507E4B"/>
    <w:rsid w:val="00507EF9"/>
    <w:rsid w:val="005105D1"/>
    <w:rsid w:val="00510976"/>
    <w:rsid w:val="005112BC"/>
    <w:rsid w:val="00511731"/>
    <w:rsid w:val="00511DAF"/>
    <w:rsid w:val="00511E71"/>
    <w:rsid w:val="0051217D"/>
    <w:rsid w:val="005121C7"/>
    <w:rsid w:val="00513023"/>
    <w:rsid w:val="005141F1"/>
    <w:rsid w:val="00514D86"/>
    <w:rsid w:val="005152DE"/>
    <w:rsid w:val="00515BFB"/>
    <w:rsid w:val="00516717"/>
    <w:rsid w:val="0051736B"/>
    <w:rsid w:val="00517D01"/>
    <w:rsid w:val="00521FBF"/>
    <w:rsid w:val="0052207D"/>
    <w:rsid w:val="0052216F"/>
    <w:rsid w:val="00522184"/>
    <w:rsid w:val="00522817"/>
    <w:rsid w:val="00522844"/>
    <w:rsid w:val="00522B4E"/>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20CF"/>
    <w:rsid w:val="005333D7"/>
    <w:rsid w:val="00533717"/>
    <w:rsid w:val="00533AB3"/>
    <w:rsid w:val="00534F51"/>
    <w:rsid w:val="00535205"/>
    <w:rsid w:val="00535EE7"/>
    <w:rsid w:val="00536054"/>
    <w:rsid w:val="00536A89"/>
    <w:rsid w:val="0053708B"/>
    <w:rsid w:val="0053709F"/>
    <w:rsid w:val="0053761A"/>
    <w:rsid w:val="005408AE"/>
    <w:rsid w:val="005408E2"/>
    <w:rsid w:val="00540FC6"/>
    <w:rsid w:val="005417C3"/>
    <w:rsid w:val="00542645"/>
    <w:rsid w:val="0054308A"/>
    <w:rsid w:val="00543103"/>
    <w:rsid w:val="005437D4"/>
    <w:rsid w:val="00544D33"/>
    <w:rsid w:val="005450C8"/>
    <w:rsid w:val="00545370"/>
    <w:rsid w:val="00545886"/>
    <w:rsid w:val="00545990"/>
    <w:rsid w:val="00545C3B"/>
    <w:rsid w:val="0054621F"/>
    <w:rsid w:val="005464D9"/>
    <w:rsid w:val="00546A51"/>
    <w:rsid w:val="0054767F"/>
    <w:rsid w:val="005476CB"/>
    <w:rsid w:val="00547DB1"/>
    <w:rsid w:val="0055008C"/>
    <w:rsid w:val="005501E8"/>
    <w:rsid w:val="0055032A"/>
    <w:rsid w:val="00550695"/>
    <w:rsid w:val="0055393D"/>
    <w:rsid w:val="00553BB4"/>
    <w:rsid w:val="00553F64"/>
    <w:rsid w:val="00554CE3"/>
    <w:rsid w:val="0055529D"/>
    <w:rsid w:val="00555D5E"/>
    <w:rsid w:val="005563CD"/>
    <w:rsid w:val="00556EFE"/>
    <w:rsid w:val="00557095"/>
    <w:rsid w:val="00557120"/>
    <w:rsid w:val="00560630"/>
    <w:rsid w:val="005609A0"/>
    <w:rsid w:val="00560BA8"/>
    <w:rsid w:val="00560EBE"/>
    <w:rsid w:val="00560F7C"/>
    <w:rsid w:val="00561374"/>
    <w:rsid w:val="00561728"/>
    <w:rsid w:val="005618D5"/>
    <w:rsid w:val="00562543"/>
    <w:rsid w:val="00562931"/>
    <w:rsid w:val="00562FF5"/>
    <w:rsid w:val="0056388A"/>
    <w:rsid w:val="00563B72"/>
    <w:rsid w:val="00564192"/>
    <w:rsid w:val="005645C6"/>
    <w:rsid w:val="005646CC"/>
    <w:rsid w:val="00564833"/>
    <w:rsid w:val="00564B4A"/>
    <w:rsid w:val="0056595E"/>
    <w:rsid w:val="00565DB8"/>
    <w:rsid w:val="00566A61"/>
    <w:rsid w:val="0056709D"/>
    <w:rsid w:val="00567646"/>
    <w:rsid w:val="005678DB"/>
    <w:rsid w:val="00570BDE"/>
    <w:rsid w:val="00570F79"/>
    <w:rsid w:val="00571FE2"/>
    <w:rsid w:val="00573948"/>
    <w:rsid w:val="00574AE0"/>
    <w:rsid w:val="00574C14"/>
    <w:rsid w:val="00575B12"/>
    <w:rsid w:val="005762BE"/>
    <w:rsid w:val="00576F1D"/>
    <w:rsid w:val="00577736"/>
    <w:rsid w:val="00577F39"/>
    <w:rsid w:val="0058018B"/>
    <w:rsid w:val="00581494"/>
    <w:rsid w:val="005819B6"/>
    <w:rsid w:val="00581EFE"/>
    <w:rsid w:val="00581F51"/>
    <w:rsid w:val="00581F6B"/>
    <w:rsid w:val="00582A3D"/>
    <w:rsid w:val="00582B3F"/>
    <w:rsid w:val="005833CC"/>
    <w:rsid w:val="00583832"/>
    <w:rsid w:val="00583B5F"/>
    <w:rsid w:val="005852F9"/>
    <w:rsid w:val="00585613"/>
    <w:rsid w:val="00585A7F"/>
    <w:rsid w:val="00586F94"/>
    <w:rsid w:val="0058700C"/>
    <w:rsid w:val="005877E6"/>
    <w:rsid w:val="00590DFD"/>
    <w:rsid w:val="00590E35"/>
    <w:rsid w:val="005913D4"/>
    <w:rsid w:val="00591406"/>
    <w:rsid w:val="00591E4A"/>
    <w:rsid w:val="00592263"/>
    <w:rsid w:val="005939DB"/>
    <w:rsid w:val="00594062"/>
    <w:rsid w:val="005942BF"/>
    <w:rsid w:val="005944ED"/>
    <w:rsid w:val="005945A7"/>
    <w:rsid w:val="005948DF"/>
    <w:rsid w:val="00594BB1"/>
    <w:rsid w:val="00594BF0"/>
    <w:rsid w:val="00595E7C"/>
    <w:rsid w:val="00596393"/>
    <w:rsid w:val="00596AFF"/>
    <w:rsid w:val="005972E5"/>
    <w:rsid w:val="00597389"/>
    <w:rsid w:val="005A06AB"/>
    <w:rsid w:val="005A0DF1"/>
    <w:rsid w:val="005A134B"/>
    <w:rsid w:val="005A1C01"/>
    <w:rsid w:val="005A2932"/>
    <w:rsid w:val="005A3D7F"/>
    <w:rsid w:val="005A3E49"/>
    <w:rsid w:val="005A4369"/>
    <w:rsid w:val="005A4F5D"/>
    <w:rsid w:val="005A501B"/>
    <w:rsid w:val="005A5534"/>
    <w:rsid w:val="005A574A"/>
    <w:rsid w:val="005A5B16"/>
    <w:rsid w:val="005A5D68"/>
    <w:rsid w:val="005A61ED"/>
    <w:rsid w:val="005A6989"/>
    <w:rsid w:val="005A6AEF"/>
    <w:rsid w:val="005A6D7E"/>
    <w:rsid w:val="005A705E"/>
    <w:rsid w:val="005A70DB"/>
    <w:rsid w:val="005B020B"/>
    <w:rsid w:val="005B0482"/>
    <w:rsid w:val="005B18FA"/>
    <w:rsid w:val="005B2F09"/>
    <w:rsid w:val="005B35E1"/>
    <w:rsid w:val="005B3767"/>
    <w:rsid w:val="005B5D69"/>
    <w:rsid w:val="005B644D"/>
    <w:rsid w:val="005B6AE3"/>
    <w:rsid w:val="005B7286"/>
    <w:rsid w:val="005B78D7"/>
    <w:rsid w:val="005B7C93"/>
    <w:rsid w:val="005B7F94"/>
    <w:rsid w:val="005C059B"/>
    <w:rsid w:val="005C1195"/>
    <w:rsid w:val="005C267B"/>
    <w:rsid w:val="005C26BF"/>
    <w:rsid w:val="005C2C83"/>
    <w:rsid w:val="005C3268"/>
    <w:rsid w:val="005C367D"/>
    <w:rsid w:val="005C3FA9"/>
    <w:rsid w:val="005C4066"/>
    <w:rsid w:val="005C4969"/>
    <w:rsid w:val="005C58C7"/>
    <w:rsid w:val="005C5F30"/>
    <w:rsid w:val="005C741A"/>
    <w:rsid w:val="005D01F6"/>
    <w:rsid w:val="005D0400"/>
    <w:rsid w:val="005D0503"/>
    <w:rsid w:val="005D052D"/>
    <w:rsid w:val="005D1127"/>
    <w:rsid w:val="005D1246"/>
    <w:rsid w:val="005D1ED9"/>
    <w:rsid w:val="005D224F"/>
    <w:rsid w:val="005D26FA"/>
    <w:rsid w:val="005D297D"/>
    <w:rsid w:val="005D2A09"/>
    <w:rsid w:val="005D2E99"/>
    <w:rsid w:val="005D3085"/>
    <w:rsid w:val="005D326A"/>
    <w:rsid w:val="005D32E4"/>
    <w:rsid w:val="005D33D5"/>
    <w:rsid w:val="005D34ED"/>
    <w:rsid w:val="005D37BE"/>
    <w:rsid w:val="005D3B41"/>
    <w:rsid w:val="005D4894"/>
    <w:rsid w:val="005D4999"/>
    <w:rsid w:val="005D49A1"/>
    <w:rsid w:val="005D4BF8"/>
    <w:rsid w:val="005D5E97"/>
    <w:rsid w:val="005D5F9D"/>
    <w:rsid w:val="005D61FF"/>
    <w:rsid w:val="005D6945"/>
    <w:rsid w:val="005D69B2"/>
    <w:rsid w:val="005D6C3D"/>
    <w:rsid w:val="005E04CE"/>
    <w:rsid w:val="005E09BC"/>
    <w:rsid w:val="005E0FA8"/>
    <w:rsid w:val="005E1381"/>
    <w:rsid w:val="005E1418"/>
    <w:rsid w:val="005E2AE9"/>
    <w:rsid w:val="005E3AF9"/>
    <w:rsid w:val="005E3BD2"/>
    <w:rsid w:val="005E418A"/>
    <w:rsid w:val="005E49F9"/>
    <w:rsid w:val="005E54AA"/>
    <w:rsid w:val="005E5C6B"/>
    <w:rsid w:val="005E6DD1"/>
    <w:rsid w:val="005E7181"/>
    <w:rsid w:val="005E7619"/>
    <w:rsid w:val="005E7B5B"/>
    <w:rsid w:val="005F03A8"/>
    <w:rsid w:val="005F0464"/>
    <w:rsid w:val="005F1B4D"/>
    <w:rsid w:val="005F33FE"/>
    <w:rsid w:val="005F41AF"/>
    <w:rsid w:val="005F476C"/>
    <w:rsid w:val="005F5989"/>
    <w:rsid w:val="005F5D3B"/>
    <w:rsid w:val="005F66C2"/>
    <w:rsid w:val="005F6D70"/>
    <w:rsid w:val="0060064F"/>
    <w:rsid w:val="00601485"/>
    <w:rsid w:val="006014AA"/>
    <w:rsid w:val="006018CF"/>
    <w:rsid w:val="0060198B"/>
    <w:rsid w:val="00601A23"/>
    <w:rsid w:val="00601AF6"/>
    <w:rsid w:val="00601CBD"/>
    <w:rsid w:val="00603B80"/>
    <w:rsid w:val="00604D09"/>
    <w:rsid w:val="00604DFB"/>
    <w:rsid w:val="00605091"/>
    <w:rsid w:val="006052EE"/>
    <w:rsid w:val="00605565"/>
    <w:rsid w:val="006056CC"/>
    <w:rsid w:val="006056D0"/>
    <w:rsid w:val="006060C0"/>
    <w:rsid w:val="00606536"/>
    <w:rsid w:val="006072A5"/>
    <w:rsid w:val="00607500"/>
    <w:rsid w:val="006105FD"/>
    <w:rsid w:val="00610E3C"/>
    <w:rsid w:val="0061109B"/>
    <w:rsid w:val="00611606"/>
    <w:rsid w:val="00611AD7"/>
    <w:rsid w:val="00611E60"/>
    <w:rsid w:val="00611F6B"/>
    <w:rsid w:val="00612266"/>
    <w:rsid w:val="006125EC"/>
    <w:rsid w:val="00613146"/>
    <w:rsid w:val="00613F07"/>
    <w:rsid w:val="0061426F"/>
    <w:rsid w:val="006151A8"/>
    <w:rsid w:val="006153F4"/>
    <w:rsid w:val="00616A6B"/>
    <w:rsid w:val="00616C6D"/>
    <w:rsid w:val="00616DB6"/>
    <w:rsid w:val="006173A0"/>
    <w:rsid w:val="00617644"/>
    <w:rsid w:val="00617678"/>
    <w:rsid w:val="006201A8"/>
    <w:rsid w:val="0062032D"/>
    <w:rsid w:val="00620856"/>
    <w:rsid w:val="00620D43"/>
    <w:rsid w:val="0062175A"/>
    <w:rsid w:val="00621786"/>
    <w:rsid w:val="00622910"/>
    <w:rsid w:val="00622B14"/>
    <w:rsid w:val="00622E58"/>
    <w:rsid w:val="00623013"/>
    <w:rsid w:val="0062329F"/>
    <w:rsid w:val="00623389"/>
    <w:rsid w:val="00623568"/>
    <w:rsid w:val="00623A42"/>
    <w:rsid w:val="0062409E"/>
    <w:rsid w:val="00624308"/>
    <w:rsid w:val="00624354"/>
    <w:rsid w:val="0062453A"/>
    <w:rsid w:val="00624A97"/>
    <w:rsid w:val="00624C00"/>
    <w:rsid w:val="006250C8"/>
    <w:rsid w:val="00625BDB"/>
    <w:rsid w:val="00627A86"/>
    <w:rsid w:val="00627FF5"/>
    <w:rsid w:val="006301DB"/>
    <w:rsid w:val="00630226"/>
    <w:rsid w:val="00630640"/>
    <w:rsid w:val="00630728"/>
    <w:rsid w:val="006308CC"/>
    <w:rsid w:val="00630BA1"/>
    <w:rsid w:val="00631275"/>
    <w:rsid w:val="006313C9"/>
    <w:rsid w:val="006318EF"/>
    <w:rsid w:val="00631A7B"/>
    <w:rsid w:val="0063320C"/>
    <w:rsid w:val="006338AB"/>
    <w:rsid w:val="00633D3F"/>
    <w:rsid w:val="00633F94"/>
    <w:rsid w:val="0063430A"/>
    <w:rsid w:val="0063437D"/>
    <w:rsid w:val="00634C89"/>
    <w:rsid w:val="00634D95"/>
    <w:rsid w:val="006350E6"/>
    <w:rsid w:val="00635C28"/>
    <w:rsid w:val="00636018"/>
    <w:rsid w:val="006365D6"/>
    <w:rsid w:val="00636995"/>
    <w:rsid w:val="00636E3B"/>
    <w:rsid w:val="006400B1"/>
    <w:rsid w:val="0064024E"/>
    <w:rsid w:val="006405B0"/>
    <w:rsid w:val="00641265"/>
    <w:rsid w:val="006412C7"/>
    <w:rsid w:val="0064144B"/>
    <w:rsid w:val="006422AC"/>
    <w:rsid w:val="00642540"/>
    <w:rsid w:val="00642839"/>
    <w:rsid w:val="00642E7A"/>
    <w:rsid w:val="00643BEE"/>
    <w:rsid w:val="006443F8"/>
    <w:rsid w:val="006446BC"/>
    <w:rsid w:val="00644D5C"/>
    <w:rsid w:val="00644FCC"/>
    <w:rsid w:val="0064574B"/>
    <w:rsid w:val="00645C0B"/>
    <w:rsid w:val="00646785"/>
    <w:rsid w:val="00646A1E"/>
    <w:rsid w:val="00647774"/>
    <w:rsid w:val="00647F02"/>
    <w:rsid w:val="00647F08"/>
    <w:rsid w:val="00650733"/>
    <w:rsid w:val="006507CD"/>
    <w:rsid w:val="00650B67"/>
    <w:rsid w:val="0065134D"/>
    <w:rsid w:val="0065136E"/>
    <w:rsid w:val="0065187F"/>
    <w:rsid w:val="006519A3"/>
    <w:rsid w:val="00651B5A"/>
    <w:rsid w:val="00652071"/>
    <w:rsid w:val="006526A4"/>
    <w:rsid w:val="00652B38"/>
    <w:rsid w:val="00652B48"/>
    <w:rsid w:val="00652C18"/>
    <w:rsid w:val="00653700"/>
    <w:rsid w:val="00654629"/>
    <w:rsid w:val="00654779"/>
    <w:rsid w:val="00654903"/>
    <w:rsid w:val="00654A23"/>
    <w:rsid w:val="00654BA6"/>
    <w:rsid w:val="006557AD"/>
    <w:rsid w:val="00655D5B"/>
    <w:rsid w:val="00656572"/>
    <w:rsid w:val="006575F4"/>
    <w:rsid w:val="00657624"/>
    <w:rsid w:val="00657685"/>
    <w:rsid w:val="00657BEF"/>
    <w:rsid w:val="00657D67"/>
    <w:rsid w:val="006601D2"/>
    <w:rsid w:val="00660307"/>
    <w:rsid w:val="0066091A"/>
    <w:rsid w:val="00660D64"/>
    <w:rsid w:val="0066240F"/>
    <w:rsid w:val="0066245C"/>
    <w:rsid w:val="0066343E"/>
    <w:rsid w:val="006637F1"/>
    <w:rsid w:val="00663C35"/>
    <w:rsid w:val="00664231"/>
    <w:rsid w:val="006644AC"/>
    <w:rsid w:val="0066483E"/>
    <w:rsid w:val="0066573F"/>
    <w:rsid w:val="0066585F"/>
    <w:rsid w:val="0066667B"/>
    <w:rsid w:val="00667830"/>
    <w:rsid w:val="00667917"/>
    <w:rsid w:val="00667BFF"/>
    <w:rsid w:val="006700E1"/>
    <w:rsid w:val="00670A04"/>
    <w:rsid w:val="00670CB3"/>
    <w:rsid w:val="00671C18"/>
    <w:rsid w:val="006729F8"/>
    <w:rsid w:val="00672DEB"/>
    <w:rsid w:val="00673325"/>
    <w:rsid w:val="00673FD3"/>
    <w:rsid w:val="00674AA4"/>
    <w:rsid w:val="00674C8B"/>
    <w:rsid w:val="00674F76"/>
    <w:rsid w:val="006755C4"/>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605"/>
    <w:rsid w:val="00682AAF"/>
    <w:rsid w:val="00682C06"/>
    <w:rsid w:val="0068323D"/>
    <w:rsid w:val="00683E7C"/>
    <w:rsid w:val="00684097"/>
    <w:rsid w:val="00685B62"/>
    <w:rsid w:val="00685F78"/>
    <w:rsid w:val="00685F8D"/>
    <w:rsid w:val="006865FD"/>
    <w:rsid w:val="00686677"/>
    <w:rsid w:val="00686E70"/>
    <w:rsid w:val="00687461"/>
    <w:rsid w:val="00687787"/>
    <w:rsid w:val="0069028B"/>
    <w:rsid w:val="006902AD"/>
    <w:rsid w:val="006906F4"/>
    <w:rsid w:val="0069092C"/>
    <w:rsid w:val="00690A42"/>
    <w:rsid w:val="00690B11"/>
    <w:rsid w:val="0069118E"/>
    <w:rsid w:val="00691655"/>
    <w:rsid w:val="00691E75"/>
    <w:rsid w:val="0069211F"/>
    <w:rsid w:val="0069334C"/>
    <w:rsid w:val="0069478F"/>
    <w:rsid w:val="00694931"/>
    <w:rsid w:val="00694CFE"/>
    <w:rsid w:val="00695E2D"/>
    <w:rsid w:val="006963CF"/>
    <w:rsid w:val="00696C95"/>
    <w:rsid w:val="006971E0"/>
    <w:rsid w:val="00697ADE"/>
    <w:rsid w:val="006A0A78"/>
    <w:rsid w:val="006A0C8C"/>
    <w:rsid w:val="006A0D4E"/>
    <w:rsid w:val="006A14F2"/>
    <w:rsid w:val="006A1553"/>
    <w:rsid w:val="006A205D"/>
    <w:rsid w:val="006A26E2"/>
    <w:rsid w:val="006A30EB"/>
    <w:rsid w:val="006A4B44"/>
    <w:rsid w:val="006A4D37"/>
    <w:rsid w:val="006A51A8"/>
    <w:rsid w:val="006A522C"/>
    <w:rsid w:val="006A5FD6"/>
    <w:rsid w:val="006A657B"/>
    <w:rsid w:val="006A7134"/>
    <w:rsid w:val="006A7327"/>
    <w:rsid w:val="006A7B42"/>
    <w:rsid w:val="006A7E42"/>
    <w:rsid w:val="006B00A7"/>
    <w:rsid w:val="006B01D1"/>
    <w:rsid w:val="006B0416"/>
    <w:rsid w:val="006B0558"/>
    <w:rsid w:val="006B0B9E"/>
    <w:rsid w:val="006B1417"/>
    <w:rsid w:val="006B22BA"/>
    <w:rsid w:val="006B2DEE"/>
    <w:rsid w:val="006B30A4"/>
    <w:rsid w:val="006B32C5"/>
    <w:rsid w:val="006B33E0"/>
    <w:rsid w:val="006B41D2"/>
    <w:rsid w:val="006B4662"/>
    <w:rsid w:val="006B62CE"/>
    <w:rsid w:val="006B6353"/>
    <w:rsid w:val="006B6AFE"/>
    <w:rsid w:val="006B6C81"/>
    <w:rsid w:val="006C002C"/>
    <w:rsid w:val="006C0646"/>
    <w:rsid w:val="006C13CA"/>
    <w:rsid w:val="006C1A1C"/>
    <w:rsid w:val="006C20DF"/>
    <w:rsid w:val="006C25B1"/>
    <w:rsid w:val="006C285F"/>
    <w:rsid w:val="006C2AA0"/>
    <w:rsid w:val="006C2C53"/>
    <w:rsid w:val="006C2C80"/>
    <w:rsid w:val="006C3BBB"/>
    <w:rsid w:val="006C3C14"/>
    <w:rsid w:val="006C44A2"/>
    <w:rsid w:val="006C48B1"/>
    <w:rsid w:val="006C5644"/>
    <w:rsid w:val="006C6099"/>
    <w:rsid w:val="006C656B"/>
    <w:rsid w:val="006C6B5C"/>
    <w:rsid w:val="006C75CF"/>
    <w:rsid w:val="006C7E06"/>
    <w:rsid w:val="006D087F"/>
    <w:rsid w:val="006D1111"/>
    <w:rsid w:val="006D21E6"/>
    <w:rsid w:val="006D3408"/>
    <w:rsid w:val="006D522C"/>
    <w:rsid w:val="006D5E63"/>
    <w:rsid w:val="006D6057"/>
    <w:rsid w:val="006D605E"/>
    <w:rsid w:val="006D60D9"/>
    <w:rsid w:val="006D7455"/>
    <w:rsid w:val="006D7FDC"/>
    <w:rsid w:val="006E1B36"/>
    <w:rsid w:val="006E2490"/>
    <w:rsid w:val="006E27EB"/>
    <w:rsid w:val="006E2B7B"/>
    <w:rsid w:val="006E2FDA"/>
    <w:rsid w:val="006E36C9"/>
    <w:rsid w:val="006E4399"/>
    <w:rsid w:val="006E4690"/>
    <w:rsid w:val="006E4E17"/>
    <w:rsid w:val="006E50B7"/>
    <w:rsid w:val="006E55C3"/>
    <w:rsid w:val="006E5826"/>
    <w:rsid w:val="006E588B"/>
    <w:rsid w:val="006E5F14"/>
    <w:rsid w:val="006E65FA"/>
    <w:rsid w:val="006E669C"/>
    <w:rsid w:val="006E68D1"/>
    <w:rsid w:val="006E6B22"/>
    <w:rsid w:val="006E6B6F"/>
    <w:rsid w:val="006E75F8"/>
    <w:rsid w:val="006E7E8B"/>
    <w:rsid w:val="006F03CB"/>
    <w:rsid w:val="006F07BF"/>
    <w:rsid w:val="006F102C"/>
    <w:rsid w:val="006F13E1"/>
    <w:rsid w:val="006F1A0E"/>
    <w:rsid w:val="006F2051"/>
    <w:rsid w:val="006F25AA"/>
    <w:rsid w:val="006F3493"/>
    <w:rsid w:val="006F3C72"/>
    <w:rsid w:val="006F3D16"/>
    <w:rsid w:val="006F44C8"/>
    <w:rsid w:val="006F51DB"/>
    <w:rsid w:val="006F5364"/>
    <w:rsid w:val="006F557E"/>
    <w:rsid w:val="006F598F"/>
    <w:rsid w:val="006F5E91"/>
    <w:rsid w:val="006F5F82"/>
    <w:rsid w:val="006F603E"/>
    <w:rsid w:val="006F69DC"/>
    <w:rsid w:val="006F72F8"/>
    <w:rsid w:val="006F751A"/>
    <w:rsid w:val="006F7625"/>
    <w:rsid w:val="007002E0"/>
    <w:rsid w:val="007004FC"/>
    <w:rsid w:val="007005C7"/>
    <w:rsid w:val="00700AD5"/>
    <w:rsid w:val="00700B11"/>
    <w:rsid w:val="00700BEB"/>
    <w:rsid w:val="00700EA5"/>
    <w:rsid w:val="0070126F"/>
    <w:rsid w:val="00702D25"/>
    <w:rsid w:val="00703055"/>
    <w:rsid w:val="00703939"/>
    <w:rsid w:val="00704087"/>
    <w:rsid w:val="00704F55"/>
    <w:rsid w:val="007053CE"/>
    <w:rsid w:val="007063D2"/>
    <w:rsid w:val="0070641B"/>
    <w:rsid w:val="007067AF"/>
    <w:rsid w:val="007069BB"/>
    <w:rsid w:val="00707735"/>
    <w:rsid w:val="00707F19"/>
    <w:rsid w:val="00710AE6"/>
    <w:rsid w:val="00710D17"/>
    <w:rsid w:val="00711CDB"/>
    <w:rsid w:val="00711F3E"/>
    <w:rsid w:val="00712535"/>
    <w:rsid w:val="007132B5"/>
    <w:rsid w:val="0071347A"/>
    <w:rsid w:val="00713E69"/>
    <w:rsid w:val="00714000"/>
    <w:rsid w:val="00714AC9"/>
    <w:rsid w:val="007150E6"/>
    <w:rsid w:val="00715E67"/>
    <w:rsid w:val="00716C80"/>
    <w:rsid w:val="007179D3"/>
    <w:rsid w:val="00717D76"/>
    <w:rsid w:val="00720131"/>
    <w:rsid w:val="00721A30"/>
    <w:rsid w:val="00721BF6"/>
    <w:rsid w:val="00721E1E"/>
    <w:rsid w:val="00722092"/>
    <w:rsid w:val="007221C3"/>
    <w:rsid w:val="007222DE"/>
    <w:rsid w:val="0072290E"/>
    <w:rsid w:val="00723AC1"/>
    <w:rsid w:val="00723CAF"/>
    <w:rsid w:val="00724113"/>
    <w:rsid w:val="0072423E"/>
    <w:rsid w:val="007243A6"/>
    <w:rsid w:val="0072461F"/>
    <w:rsid w:val="007249DB"/>
    <w:rsid w:val="00724C08"/>
    <w:rsid w:val="00725A67"/>
    <w:rsid w:val="00725D28"/>
    <w:rsid w:val="00726DAC"/>
    <w:rsid w:val="0072701F"/>
    <w:rsid w:val="0072709B"/>
    <w:rsid w:val="00727EAD"/>
    <w:rsid w:val="007301D3"/>
    <w:rsid w:val="00730A77"/>
    <w:rsid w:val="00731479"/>
    <w:rsid w:val="00732018"/>
    <w:rsid w:val="0073209F"/>
    <w:rsid w:val="00732AE1"/>
    <w:rsid w:val="00733AE0"/>
    <w:rsid w:val="00734CA6"/>
    <w:rsid w:val="00734FA2"/>
    <w:rsid w:val="0073550C"/>
    <w:rsid w:val="007369AA"/>
    <w:rsid w:val="00736A7F"/>
    <w:rsid w:val="007372A2"/>
    <w:rsid w:val="00737320"/>
    <w:rsid w:val="00737578"/>
    <w:rsid w:val="0073766B"/>
    <w:rsid w:val="007377AA"/>
    <w:rsid w:val="00737982"/>
    <w:rsid w:val="007379B4"/>
    <w:rsid w:val="0074005F"/>
    <w:rsid w:val="007403C2"/>
    <w:rsid w:val="00741FBA"/>
    <w:rsid w:val="00742358"/>
    <w:rsid w:val="00742ACA"/>
    <w:rsid w:val="00742D0A"/>
    <w:rsid w:val="00743622"/>
    <w:rsid w:val="007439C7"/>
    <w:rsid w:val="00743F36"/>
    <w:rsid w:val="00744CE0"/>
    <w:rsid w:val="0074514B"/>
    <w:rsid w:val="00745450"/>
    <w:rsid w:val="00746B78"/>
    <w:rsid w:val="00746C23"/>
    <w:rsid w:val="0074723E"/>
    <w:rsid w:val="00750235"/>
    <w:rsid w:val="00750D31"/>
    <w:rsid w:val="00751152"/>
    <w:rsid w:val="007514AB"/>
    <w:rsid w:val="007515D6"/>
    <w:rsid w:val="00751773"/>
    <w:rsid w:val="00752682"/>
    <w:rsid w:val="007527B5"/>
    <w:rsid w:val="00753462"/>
    <w:rsid w:val="0075389C"/>
    <w:rsid w:val="00754B0F"/>
    <w:rsid w:val="007562F8"/>
    <w:rsid w:val="0075643A"/>
    <w:rsid w:val="007567B4"/>
    <w:rsid w:val="00756FCC"/>
    <w:rsid w:val="007579E3"/>
    <w:rsid w:val="00760144"/>
    <w:rsid w:val="00760309"/>
    <w:rsid w:val="00760534"/>
    <w:rsid w:val="00760649"/>
    <w:rsid w:val="00760955"/>
    <w:rsid w:val="00760C46"/>
    <w:rsid w:val="00760C6C"/>
    <w:rsid w:val="00762050"/>
    <w:rsid w:val="007624FB"/>
    <w:rsid w:val="0076259C"/>
    <w:rsid w:val="0076319B"/>
    <w:rsid w:val="007636EC"/>
    <w:rsid w:val="0076390A"/>
    <w:rsid w:val="00763B82"/>
    <w:rsid w:val="00763F33"/>
    <w:rsid w:val="0076402E"/>
    <w:rsid w:val="00764B4D"/>
    <w:rsid w:val="00765202"/>
    <w:rsid w:val="00765266"/>
    <w:rsid w:val="0076544B"/>
    <w:rsid w:val="007655E0"/>
    <w:rsid w:val="00766A4E"/>
    <w:rsid w:val="00766FF1"/>
    <w:rsid w:val="00767334"/>
    <w:rsid w:val="00767B25"/>
    <w:rsid w:val="00770E5D"/>
    <w:rsid w:val="00771249"/>
    <w:rsid w:val="00771C45"/>
    <w:rsid w:val="00771D4C"/>
    <w:rsid w:val="0077219A"/>
    <w:rsid w:val="00772A25"/>
    <w:rsid w:val="00772D34"/>
    <w:rsid w:val="0077362D"/>
    <w:rsid w:val="00773843"/>
    <w:rsid w:val="00774DD5"/>
    <w:rsid w:val="0077583A"/>
    <w:rsid w:val="00775C11"/>
    <w:rsid w:val="00775CD7"/>
    <w:rsid w:val="00775D52"/>
    <w:rsid w:val="00776617"/>
    <w:rsid w:val="00776E7D"/>
    <w:rsid w:val="007773B9"/>
    <w:rsid w:val="007778C0"/>
    <w:rsid w:val="007800A5"/>
    <w:rsid w:val="007808FE"/>
    <w:rsid w:val="0078091D"/>
    <w:rsid w:val="00780E28"/>
    <w:rsid w:val="0078126B"/>
    <w:rsid w:val="00781386"/>
    <w:rsid w:val="00781F29"/>
    <w:rsid w:val="00782569"/>
    <w:rsid w:val="0078258C"/>
    <w:rsid w:val="00782D0C"/>
    <w:rsid w:val="007838DC"/>
    <w:rsid w:val="00784750"/>
    <w:rsid w:val="00784D1B"/>
    <w:rsid w:val="00785380"/>
    <w:rsid w:val="00785E01"/>
    <w:rsid w:val="00786987"/>
    <w:rsid w:val="00786DC9"/>
    <w:rsid w:val="00786E1C"/>
    <w:rsid w:val="007870B1"/>
    <w:rsid w:val="00787340"/>
    <w:rsid w:val="00787A65"/>
    <w:rsid w:val="00787CC1"/>
    <w:rsid w:val="007904E6"/>
    <w:rsid w:val="007916A5"/>
    <w:rsid w:val="00791B6F"/>
    <w:rsid w:val="00793103"/>
    <w:rsid w:val="00793DD9"/>
    <w:rsid w:val="00794552"/>
    <w:rsid w:val="00794991"/>
    <w:rsid w:val="00794BAD"/>
    <w:rsid w:val="00794E35"/>
    <w:rsid w:val="007950D3"/>
    <w:rsid w:val="00795FC2"/>
    <w:rsid w:val="00796874"/>
    <w:rsid w:val="00796BE1"/>
    <w:rsid w:val="007970A7"/>
    <w:rsid w:val="00797317"/>
    <w:rsid w:val="007A09D8"/>
    <w:rsid w:val="007A1164"/>
    <w:rsid w:val="007A1DEC"/>
    <w:rsid w:val="007A1F60"/>
    <w:rsid w:val="007A237F"/>
    <w:rsid w:val="007A2398"/>
    <w:rsid w:val="007A2688"/>
    <w:rsid w:val="007A2834"/>
    <w:rsid w:val="007A2B57"/>
    <w:rsid w:val="007A312C"/>
    <w:rsid w:val="007A3307"/>
    <w:rsid w:val="007A38CD"/>
    <w:rsid w:val="007A3991"/>
    <w:rsid w:val="007A3C43"/>
    <w:rsid w:val="007A45CF"/>
    <w:rsid w:val="007A48FC"/>
    <w:rsid w:val="007A4E26"/>
    <w:rsid w:val="007A4E61"/>
    <w:rsid w:val="007A57F2"/>
    <w:rsid w:val="007A5F20"/>
    <w:rsid w:val="007A6D80"/>
    <w:rsid w:val="007A704B"/>
    <w:rsid w:val="007A7143"/>
    <w:rsid w:val="007A732D"/>
    <w:rsid w:val="007A7971"/>
    <w:rsid w:val="007B06FD"/>
    <w:rsid w:val="007B0EB1"/>
    <w:rsid w:val="007B1598"/>
    <w:rsid w:val="007B1B98"/>
    <w:rsid w:val="007B21F9"/>
    <w:rsid w:val="007B22A2"/>
    <w:rsid w:val="007B26FA"/>
    <w:rsid w:val="007B2733"/>
    <w:rsid w:val="007B2A45"/>
    <w:rsid w:val="007B2E01"/>
    <w:rsid w:val="007B336E"/>
    <w:rsid w:val="007B38AF"/>
    <w:rsid w:val="007B3D56"/>
    <w:rsid w:val="007B3DD8"/>
    <w:rsid w:val="007B4718"/>
    <w:rsid w:val="007B49EB"/>
    <w:rsid w:val="007B5886"/>
    <w:rsid w:val="007B63A9"/>
    <w:rsid w:val="007B6B80"/>
    <w:rsid w:val="007B7DDC"/>
    <w:rsid w:val="007C007E"/>
    <w:rsid w:val="007C0110"/>
    <w:rsid w:val="007C14B2"/>
    <w:rsid w:val="007C205C"/>
    <w:rsid w:val="007C210E"/>
    <w:rsid w:val="007C3041"/>
    <w:rsid w:val="007C43F6"/>
    <w:rsid w:val="007C4A14"/>
    <w:rsid w:val="007C4C67"/>
    <w:rsid w:val="007C4CB1"/>
    <w:rsid w:val="007C4D6C"/>
    <w:rsid w:val="007C551B"/>
    <w:rsid w:val="007C5626"/>
    <w:rsid w:val="007C5706"/>
    <w:rsid w:val="007C5871"/>
    <w:rsid w:val="007C5975"/>
    <w:rsid w:val="007C59E9"/>
    <w:rsid w:val="007C681A"/>
    <w:rsid w:val="007C6B3A"/>
    <w:rsid w:val="007C6FAA"/>
    <w:rsid w:val="007C709E"/>
    <w:rsid w:val="007D05FA"/>
    <w:rsid w:val="007D0C4F"/>
    <w:rsid w:val="007D18E1"/>
    <w:rsid w:val="007D1905"/>
    <w:rsid w:val="007D207F"/>
    <w:rsid w:val="007D314A"/>
    <w:rsid w:val="007D3A5F"/>
    <w:rsid w:val="007D3BC4"/>
    <w:rsid w:val="007D3C5F"/>
    <w:rsid w:val="007D4051"/>
    <w:rsid w:val="007D5027"/>
    <w:rsid w:val="007D59C7"/>
    <w:rsid w:val="007D5BDC"/>
    <w:rsid w:val="007D6226"/>
    <w:rsid w:val="007D6536"/>
    <w:rsid w:val="007D6D24"/>
    <w:rsid w:val="007D6EB1"/>
    <w:rsid w:val="007D71C6"/>
    <w:rsid w:val="007D73E2"/>
    <w:rsid w:val="007D780B"/>
    <w:rsid w:val="007D79B1"/>
    <w:rsid w:val="007E1E68"/>
    <w:rsid w:val="007E2899"/>
    <w:rsid w:val="007E33D1"/>
    <w:rsid w:val="007E3A00"/>
    <w:rsid w:val="007E3B1E"/>
    <w:rsid w:val="007E3F0C"/>
    <w:rsid w:val="007E4152"/>
    <w:rsid w:val="007E4AA4"/>
    <w:rsid w:val="007E50E3"/>
    <w:rsid w:val="007E5E50"/>
    <w:rsid w:val="007E6533"/>
    <w:rsid w:val="007E6738"/>
    <w:rsid w:val="007E694D"/>
    <w:rsid w:val="007E6B45"/>
    <w:rsid w:val="007E72C0"/>
    <w:rsid w:val="007E756E"/>
    <w:rsid w:val="007E786D"/>
    <w:rsid w:val="007E7C74"/>
    <w:rsid w:val="007F05C3"/>
    <w:rsid w:val="007F0793"/>
    <w:rsid w:val="007F0E70"/>
    <w:rsid w:val="007F11A1"/>
    <w:rsid w:val="007F1649"/>
    <w:rsid w:val="007F1E0D"/>
    <w:rsid w:val="007F2246"/>
    <w:rsid w:val="007F2358"/>
    <w:rsid w:val="007F24D2"/>
    <w:rsid w:val="007F2B44"/>
    <w:rsid w:val="007F35FD"/>
    <w:rsid w:val="007F3773"/>
    <w:rsid w:val="007F3864"/>
    <w:rsid w:val="007F400F"/>
    <w:rsid w:val="007F4532"/>
    <w:rsid w:val="007F489D"/>
    <w:rsid w:val="007F4B66"/>
    <w:rsid w:val="007F632B"/>
    <w:rsid w:val="007F699E"/>
    <w:rsid w:val="007F6A06"/>
    <w:rsid w:val="007F6EEC"/>
    <w:rsid w:val="007F7D52"/>
    <w:rsid w:val="007F7F3D"/>
    <w:rsid w:val="0080050A"/>
    <w:rsid w:val="00800635"/>
    <w:rsid w:val="008007B2"/>
    <w:rsid w:val="0080085D"/>
    <w:rsid w:val="00800DA8"/>
    <w:rsid w:val="00800DAB"/>
    <w:rsid w:val="00801366"/>
    <w:rsid w:val="00801529"/>
    <w:rsid w:val="00801A12"/>
    <w:rsid w:val="00801BAD"/>
    <w:rsid w:val="00801F2A"/>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1D0"/>
    <w:rsid w:val="008134AC"/>
    <w:rsid w:val="0081381A"/>
    <w:rsid w:val="00813F28"/>
    <w:rsid w:val="00814A62"/>
    <w:rsid w:val="00815236"/>
    <w:rsid w:val="00815411"/>
    <w:rsid w:val="0081572F"/>
    <w:rsid w:val="00815970"/>
    <w:rsid w:val="00815C9C"/>
    <w:rsid w:val="00815D80"/>
    <w:rsid w:val="0081615A"/>
    <w:rsid w:val="0081627F"/>
    <w:rsid w:val="008162B2"/>
    <w:rsid w:val="00816B6D"/>
    <w:rsid w:val="00816D71"/>
    <w:rsid w:val="008170A3"/>
    <w:rsid w:val="0082089F"/>
    <w:rsid w:val="00821269"/>
    <w:rsid w:val="008219F8"/>
    <w:rsid w:val="00821B91"/>
    <w:rsid w:val="00821D13"/>
    <w:rsid w:val="00822579"/>
    <w:rsid w:val="0082270F"/>
    <w:rsid w:val="008231D1"/>
    <w:rsid w:val="008236A5"/>
    <w:rsid w:val="00824332"/>
    <w:rsid w:val="008248C8"/>
    <w:rsid w:val="00824B57"/>
    <w:rsid w:val="00825B9F"/>
    <w:rsid w:val="0082678D"/>
    <w:rsid w:val="008272BB"/>
    <w:rsid w:val="0083072F"/>
    <w:rsid w:val="008308AB"/>
    <w:rsid w:val="008316B3"/>
    <w:rsid w:val="00832EB9"/>
    <w:rsid w:val="00833908"/>
    <w:rsid w:val="008339C5"/>
    <w:rsid w:val="00833A8C"/>
    <w:rsid w:val="00833DE5"/>
    <w:rsid w:val="0083512F"/>
    <w:rsid w:val="00835BA0"/>
    <w:rsid w:val="00836067"/>
    <w:rsid w:val="008362FB"/>
    <w:rsid w:val="00836BF9"/>
    <w:rsid w:val="00837229"/>
    <w:rsid w:val="0083744B"/>
    <w:rsid w:val="00837E7D"/>
    <w:rsid w:val="00840F8D"/>
    <w:rsid w:val="00841A7E"/>
    <w:rsid w:val="0084233D"/>
    <w:rsid w:val="0084244D"/>
    <w:rsid w:val="00842ADE"/>
    <w:rsid w:val="00843612"/>
    <w:rsid w:val="00843A88"/>
    <w:rsid w:val="0084423E"/>
    <w:rsid w:val="00844727"/>
    <w:rsid w:val="00846560"/>
    <w:rsid w:val="00846C1A"/>
    <w:rsid w:val="00847872"/>
    <w:rsid w:val="00847F65"/>
    <w:rsid w:val="008508C5"/>
    <w:rsid w:val="00850AB7"/>
    <w:rsid w:val="00850F07"/>
    <w:rsid w:val="008514C0"/>
    <w:rsid w:val="00851D4A"/>
    <w:rsid w:val="0085223A"/>
    <w:rsid w:val="0085268F"/>
    <w:rsid w:val="00852952"/>
    <w:rsid w:val="008540A6"/>
    <w:rsid w:val="00854277"/>
    <w:rsid w:val="008548F0"/>
    <w:rsid w:val="008550E8"/>
    <w:rsid w:val="00855266"/>
    <w:rsid w:val="0085539F"/>
    <w:rsid w:val="008555D3"/>
    <w:rsid w:val="008556DA"/>
    <w:rsid w:val="00855BFF"/>
    <w:rsid w:val="00855DCF"/>
    <w:rsid w:val="0085696C"/>
    <w:rsid w:val="0085722C"/>
    <w:rsid w:val="00857D86"/>
    <w:rsid w:val="008606BA"/>
    <w:rsid w:val="00860F89"/>
    <w:rsid w:val="0086111D"/>
    <w:rsid w:val="00861675"/>
    <w:rsid w:val="008622F5"/>
    <w:rsid w:val="008628AC"/>
    <w:rsid w:val="00862C4D"/>
    <w:rsid w:val="00862EF7"/>
    <w:rsid w:val="00864E46"/>
    <w:rsid w:val="00866B68"/>
    <w:rsid w:val="00867028"/>
    <w:rsid w:val="0087036E"/>
    <w:rsid w:val="008708F4"/>
    <w:rsid w:val="00871620"/>
    <w:rsid w:val="0087195C"/>
    <w:rsid w:val="00871B18"/>
    <w:rsid w:val="0087299B"/>
    <w:rsid w:val="008730EC"/>
    <w:rsid w:val="00873CAD"/>
    <w:rsid w:val="00874351"/>
    <w:rsid w:val="00874375"/>
    <w:rsid w:val="00874CA7"/>
    <w:rsid w:val="0087545B"/>
    <w:rsid w:val="008755D4"/>
    <w:rsid w:val="008760BD"/>
    <w:rsid w:val="0087683D"/>
    <w:rsid w:val="00876D47"/>
    <w:rsid w:val="008776F1"/>
    <w:rsid w:val="008778A5"/>
    <w:rsid w:val="008779FD"/>
    <w:rsid w:val="00880155"/>
    <w:rsid w:val="00880A57"/>
    <w:rsid w:val="00880BB8"/>
    <w:rsid w:val="00880EB8"/>
    <w:rsid w:val="0088123B"/>
    <w:rsid w:val="008819F0"/>
    <w:rsid w:val="0088217E"/>
    <w:rsid w:val="00882427"/>
    <w:rsid w:val="00883699"/>
    <w:rsid w:val="008836C3"/>
    <w:rsid w:val="008843E8"/>
    <w:rsid w:val="00884459"/>
    <w:rsid w:val="00885DE1"/>
    <w:rsid w:val="008866E8"/>
    <w:rsid w:val="00890641"/>
    <w:rsid w:val="008908FE"/>
    <w:rsid w:val="00890910"/>
    <w:rsid w:val="0089134A"/>
    <w:rsid w:val="0089140B"/>
    <w:rsid w:val="008919D2"/>
    <w:rsid w:val="00892922"/>
    <w:rsid w:val="0089297B"/>
    <w:rsid w:val="00892D1B"/>
    <w:rsid w:val="008935EB"/>
    <w:rsid w:val="0089396F"/>
    <w:rsid w:val="008947EE"/>
    <w:rsid w:val="008948C5"/>
    <w:rsid w:val="008952D6"/>
    <w:rsid w:val="0089554C"/>
    <w:rsid w:val="00897032"/>
    <w:rsid w:val="00897570"/>
    <w:rsid w:val="00897AF5"/>
    <w:rsid w:val="008A0002"/>
    <w:rsid w:val="008A0204"/>
    <w:rsid w:val="008A024B"/>
    <w:rsid w:val="008A031A"/>
    <w:rsid w:val="008A0EF5"/>
    <w:rsid w:val="008A11FB"/>
    <w:rsid w:val="008A1572"/>
    <w:rsid w:val="008A17DF"/>
    <w:rsid w:val="008A19E4"/>
    <w:rsid w:val="008A25D9"/>
    <w:rsid w:val="008A2854"/>
    <w:rsid w:val="008A2AC9"/>
    <w:rsid w:val="008A2B0E"/>
    <w:rsid w:val="008A2ECE"/>
    <w:rsid w:val="008A3CEE"/>
    <w:rsid w:val="008A4307"/>
    <w:rsid w:val="008A5094"/>
    <w:rsid w:val="008A510A"/>
    <w:rsid w:val="008A52D4"/>
    <w:rsid w:val="008A5652"/>
    <w:rsid w:val="008A59FF"/>
    <w:rsid w:val="008A5CDF"/>
    <w:rsid w:val="008A5EAA"/>
    <w:rsid w:val="008A6FE8"/>
    <w:rsid w:val="008A7F77"/>
    <w:rsid w:val="008B04AD"/>
    <w:rsid w:val="008B0500"/>
    <w:rsid w:val="008B093F"/>
    <w:rsid w:val="008B0B60"/>
    <w:rsid w:val="008B12A0"/>
    <w:rsid w:val="008B130F"/>
    <w:rsid w:val="008B145D"/>
    <w:rsid w:val="008B18AC"/>
    <w:rsid w:val="008B1CD1"/>
    <w:rsid w:val="008B2CD9"/>
    <w:rsid w:val="008B398B"/>
    <w:rsid w:val="008B3A7A"/>
    <w:rsid w:val="008B3D79"/>
    <w:rsid w:val="008B42EF"/>
    <w:rsid w:val="008B44B8"/>
    <w:rsid w:val="008B44D2"/>
    <w:rsid w:val="008B4762"/>
    <w:rsid w:val="008B50F1"/>
    <w:rsid w:val="008B5B63"/>
    <w:rsid w:val="008B5D08"/>
    <w:rsid w:val="008B674B"/>
    <w:rsid w:val="008B711C"/>
    <w:rsid w:val="008B737D"/>
    <w:rsid w:val="008B75F0"/>
    <w:rsid w:val="008C0154"/>
    <w:rsid w:val="008C05ED"/>
    <w:rsid w:val="008C06D8"/>
    <w:rsid w:val="008C0E5F"/>
    <w:rsid w:val="008C1313"/>
    <w:rsid w:val="008C16C8"/>
    <w:rsid w:val="008C18F2"/>
    <w:rsid w:val="008C1C53"/>
    <w:rsid w:val="008C26AF"/>
    <w:rsid w:val="008C2B87"/>
    <w:rsid w:val="008C2C8D"/>
    <w:rsid w:val="008C3132"/>
    <w:rsid w:val="008C32AA"/>
    <w:rsid w:val="008C351A"/>
    <w:rsid w:val="008C53E0"/>
    <w:rsid w:val="008C57CD"/>
    <w:rsid w:val="008C67BD"/>
    <w:rsid w:val="008C68C6"/>
    <w:rsid w:val="008C69F0"/>
    <w:rsid w:val="008C7561"/>
    <w:rsid w:val="008C77DF"/>
    <w:rsid w:val="008D03F2"/>
    <w:rsid w:val="008D07DB"/>
    <w:rsid w:val="008D0E8C"/>
    <w:rsid w:val="008D13EE"/>
    <w:rsid w:val="008D26C3"/>
    <w:rsid w:val="008D33EA"/>
    <w:rsid w:val="008D353B"/>
    <w:rsid w:val="008D36EF"/>
    <w:rsid w:val="008D387D"/>
    <w:rsid w:val="008D3F7A"/>
    <w:rsid w:val="008D4274"/>
    <w:rsid w:val="008D44BB"/>
    <w:rsid w:val="008D5240"/>
    <w:rsid w:val="008D5583"/>
    <w:rsid w:val="008D6117"/>
    <w:rsid w:val="008D665F"/>
    <w:rsid w:val="008D6B29"/>
    <w:rsid w:val="008D6CC0"/>
    <w:rsid w:val="008D7870"/>
    <w:rsid w:val="008D79E4"/>
    <w:rsid w:val="008E0A43"/>
    <w:rsid w:val="008E191D"/>
    <w:rsid w:val="008E1E17"/>
    <w:rsid w:val="008E292B"/>
    <w:rsid w:val="008E2DEB"/>
    <w:rsid w:val="008E387E"/>
    <w:rsid w:val="008E38CB"/>
    <w:rsid w:val="008E40FC"/>
    <w:rsid w:val="008E436E"/>
    <w:rsid w:val="008E491A"/>
    <w:rsid w:val="008E49CE"/>
    <w:rsid w:val="008E4FA3"/>
    <w:rsid w:val="008E5089"/>
    <w:rsid w:val="008E53E0"/>
    <w:rsid w:val="008E6953"/>
    <w:rsid w:val="008E6FB3"/>
    <w:rsid w:val="008E75D3"/>
    <w:rsid w:val="008E7697"/>
    <w:rsid w:val="008E7FB4"/>
    <w:rsid w:val="008F0412"/>
    <w:rsid w:val="008F0999"/>
    <w:rsid w:val="008F0DE5"/>
    <w:rsid w:val="008F1499"/>
    <w:rsid w:val="008F17AC"/>
    <w:rsid w:val="008F17F3"/>
    <w:rsid w:val="008F23C6"/>
    <w:rsid w:val="008F2842"/>
    <w:rsid w:val="008F2DD2"/>
    <w:rsid w:val="008F32C1"/>
    <w:rsid w:val="008F332F"/>
    <w:rsid w:val="008F3C40"/>
    <w:rsid w:val="008F3F21"/>
    <w:rsid w:val="008F498F"/>
    <w:rsid w:val="008F5883"/>
    <w:rsid w:val="008F59FC"/>
    <w:rsid w:val="008F6617"/>
    <w:rsid w:val="008F722B"/>
    <w:rsid w:val="008F789C"/>
    <w:rsid w:val="008F7C85"/>
    <w:rsid w:val="008F7FA1"/>
    <w:rsid w:val="0090137A"/>
    <w:rsid w:val="00901771"/>
    <w:rsid w:val="00902459"/>
    <w:rsid w:val="00902D22"/>
    <w:rsid w:val="00903802"/>
    <w:rsid w:val="00903B87"/>
    <w:rsid w:val="00904061"/>
    <w:rsid w:val="00904143"/>
    <w:rsid w:val="0090416A"/>
    <w:rsid w:val="00905254"/>
    <w:rsid w:val="00905B85"/>
    <w:rsid w:val="0090622F"/>
    <w:rsid w:val="009062E4"/>
    <w:rsid w:val="0090653F"/>
    <w:rsid w:val="009068AD"/>
    <w:rsid w:val="00907F40"/>
    <w:rsid w:val="00910158"/>
    <w:rsid w:val="009105B1"/>
    <w:rsid w:val="009105EE"/>
    <w:rsid w:val="00910B25"/>
    <w:rsid w:val="009114D9"/>
    <w:rsid w:val="0091151F"/>
    <w:rsid w:val="00911E80"/>
    <w:rsid w:val="009120D5"/>
    <w:rsid w:val="00912AB2"/>
    <w:rsid w:val="00913089"/>
    <w:rsid w:val="0091327D"/>
    <w:rsid w:val="009137C7"/>
    <w:rsid w:val="0091383A"/>
    <w:rsid w:val="009138B5"/>
    <w:rsid w:val="00913B9B"/>
    <w:rsid w:val="00913C77"/>
    <w:rsid w:val="00913F9D"/>
    <w:rsid w:val="00913FEA"/>
    <w:rsid w:val="009140FF"/>
    <w:rsid w:val="00914684"/>
    <w:rsid w:val="00914DF8"/>
    <w:rsid w:val="009150E5"/>
    <w:rsid w:val="009159D5"/>
    <w:rsid w:val="00915A66"/>
    <w:rsid w:val="00915DF5"/>
    <w:rsid w:val="0091637C"/>
    <w:rsid w:val="00916728"/>
    <w:rsid w:val="009170C3"/>
    <w:rsid w:val="00917E51"/>
    <w:rsid w:val="00920693"/>
    <w:rsid w:val="009216A7"/>
    <w:rsid w:val="00921C7D"/>
    <w:rsid w:val="009226B0"/>
    <w:rsid w:val="00922B4F"/>
    <w:rsid w:val="00923308"/>
    <w:rsid w:val="009236FE"/>
    <w:rsid w:val="009246C5"/>
    <w:rsid w:val="00924776"/>
    <w:rsid w:val="00924B9E"/>
    <w:rsid w:val="00925962"/>
    <w:rsid w:val="009261C7"/>
    <w:rsid w:val="00926306"/>
    <w:rsid w:val="00926772"/>
    <w:rsid w:val="009267CB"/>
    <w:rsid w:val="00927263"/>
    <w:rsid w:val="0092748B"/>
    <w:rsid w:val="00927CA8"/>
    <w:rsid w:val="00927EAC"/>
    <w:rsid w:val="00930182"/>
    <w:rsid w:val="00930374"/>
    <w:rsid w:val="00931528"/>
    <w:rsid w:val="00931913"/>
    <w:rsid w:val="0093196A"/>
    <w:rsid w:val="00932308"/>
    <w:rsid w:val="0093267B"/>
    <w:rsid w:val="00932763"/>
    <w:rsid w:val="00932970"/>
    <w:rsid w:val="00932FCE"/>
    <w:rsid w:val="00934251"/>
    <w:rsid w:val="00934AD2"/>
    <w:rsid w:val="00934BA3"/>
    <w:rsid w:val="009354C7"/>
    <w:rsid w:val="0093564D"/>
    <w:rsid w:val="0093647B"/>
    <w:rsid w:val="009367FB"/>
    <w:rsid w:val="009372E8"/>
    <w:rsid w:val="009403A1"/>
    <w:rsid w:val="009408E2"/>
    <w:rsid w:val="009430D7"/>
    <w:rsid w:val="00943BE9"/>
    <w:rsid w:val="00943DF8"/>
    <w:rsid w:val="009443AA"/>
    <w:rsid w:val="0094477A"/>
    <w:rsid w:val="00944AE7"/>
    <w:rsid w:val="00945E07"/>
    <w:rsid w:val="00946E24"/>
    <w:rsid w:val="00946F3A"/>
    <w:rsid w:val="00946F67"/>
    <w:rsid w:val="0094719B"/>
    <w:rsid w:val="009472AF"/>
    <w:rsid w:val="0094795A"/>
    <w:rsid w:val="00947C85"/>
    <w:rsid w:val="00947D33"/>
    <w:rsid w:val="00947DF7"/>
    <w:rsid w:val="00947E35"/>
    <w:rsid w:val="0095043A"/>
    <w:rsid w:val="00951014"/>
    <w:rsid w:val="00951981"/>
    <w:rsid w:val="00951F91"/>
    <w:rsid w:val="0095223A"/>
    <w:rsid w:val="00952330"/>
    <w:rsid w:val="009525B4"/>
    <w:rsid w:val="0095341C"/>
    <w:rsid w:val="0095354A"/>
    <w:rsid w:val="009539AE"/>
    <w:rsid w:val="00953BB0"/>
    <w:rsid w:val="00955D24"/>
    <w:rsid w:val="00955D6B"/>
    <w:rsid w:val="009568C2"/>
    <w:rsid w:val="009569B2"/>
    <w:rsid w:val="009569DB"/>
    <w:rsid w:val="0095733D"/>
    <w:rsid w:val="0095771E"/>
    <w:rsid w:val="00960AC4"/>
    <w:rsid w:val="0096121F"/>
    <w:rsid w:val="00961D64"/>
    <w:rsid w:val="0096257F"/>
    <w:rsid w:val="00962A48"/>
    <w:rsid w:val="00962E0F"/>
    <w:rsid w:val="00963BF9"/>
    <w:rsid w:val="0096480A"/>
    <w:rsid w:val="0096488A"/>
    <w:rsid w:val="00966797"/>
    <w:rsid w:val="00966F82"/>
    <w:rsid w:val="0096796D"/>
    <w:rsid w:val="009703B6"/>
    <w:rsid w:val="009725FB"/>
    <w:rsid w:val="0097282B"/>
    <w:rsid w:val="0097384F"/>
    <w:rsid w:val="00974324"/>
    <w:rsid w:val="009746D4"/>
    <w:rsid w:val="00974AE7"/>
    <w:rsid w:val="009757FC"/>
    <w:rsid w:val="00975845"/>
    <w:rsid w:val="00976092"/>
    <w:rsid w:val="00976402"/>
    <w:rsid w:val="009771A7"/>
    <w:rsid w:val="0097734E"/>
    <w:rsid w:val="0098092D"/>
    <w:rsid w:val="009812AB"/>
    <w:rsid w:val="0098165B"/>
    <w:rsid w:val="0098169A"/>
    <w:rsid w:val="009816AA"/>
    <w:rsid w:val="00981D6F"/>
    <w:rsid w:val="00982232"/>
    <w:rsid w:val="00983CBD"/>
    <w:rsid w:val="009848CD"/>
    <w:rsid w:val="00985174"/>
    <w:rsid w:val="009852A3"/>
    <w:rsid w:val="009855FE"/>
    <w:rsid w:val="00985A62"/>
    <w:rsid w:val="00985DB2"/>
    <w:rsid w:val="009860EC"/>
    <w:rsid w:val="00986B9D"/>
    <w:rsid w:val="00986BD6"/>
    <w:rsid w:val="00987115"/>
    <w:rsid w:val="0098732E"/>
    <w:rsid w:val="00987533"/>
    <w:rsid w:val="009876E2"/>
    <w:rsid w:val="00987D94"/>
    <w:rsid w:val="00990822"/>
    <w:rsid w:val="009916A6"/>
    <w:rsid w:val="009917EA"/>
    <w:rsid w:val="00991952"/>
    <w:rsid w:val="00991BA8"/>
    <w:rsid w:val="009923CF"/>
    <w:rsid w:val="00992C4B"/>
    <w:rsid w:val="00993418"/>
    <w:rsid w:val="00994246"/>
    <w:rsid w:val="00996E23"/>
    <w:rsid w:val="0099726B"/>
    <w:rsid w:val="009973A9"/>
    <w:rsid w:val="00997624"/>
    <w:rsid w:val="0099789D"/>
    <w:rsid w:val="00997945"/>
    <w:rsid w:val="009A0B99"/>
    <w:rsid w:val="009A1067"/>
    <w:rsid w:val="009A130E"/>
    <w:rsid w:val="009A1359"/>
    <w:rsid w:val="009A1F5C"/>
    <w:rsid w:val="009A2106"/>
    <w:rsid w:val="009A2317"/>
    <w:rsid w:val="009A25E2"/>
    <w:rsid w:val="009A2ABE"/>
    <w:rsid w:val="009A2C3C"/>
    <w:rsid w:val="009A54F7"/>
    <w:rsid w:val="009A5BA0"/>
    <w:rsid w:val="009A70FF"/>
    <w:rsid w:val="009A7416"/>
    <w:rsid w:val="009A7765"/>
    <w:rsid w:val="009A7F65"/>
    <w:rsid w:val="009B09E3"/>
    <w:rsid w:val="009B0DE4"/>
    <w:rsid w:val="009B1549"/>
    <w:rsid w:val="009B1CE6"/>
    <w:rsid w:val="009B2578"/>
    <w:rsid w:val="009B338F"/>
    <w:rsid w:val="009B383D"/>
    <w:rsid w:val="009B3E54"/>
    <w:rsid w:val="009B4E04"/>
    <w:rsid w:val="009B546E"/>
    <w:rsid w:val="009B55AE"/>
    <w:rsid w:val="009B6EBA"/>
    <w:rsid w:val="009C0451"/>
    <w:rsid w:val="009C0ADD"/>
    <w:rsid w:val="009C222A"/>
    <w:rsid w:val="009C2D16"/>
    <w:rsid w:val="009C3D3C"/>
    <w:rsid w:val="009C49DA"/>
    <w:rsid w:val="009C4A7A"/>
    <w:rsid w:val="009C4C0D"/>
    <w:rsid w:val="009C5122"/>
    <w:rsid w:val="009C73F0"/>
    <w:rsid w:val="009C7750"/>
    <w:rsid w:val="009D0DE1"/>
    <w:rsid w:val="009D1887"/>
    <w:rsid w:val="009D1AE1"/>
    <w:rsid w:val="009D1BE6"/>
    <w:rsid w:val="009D249A"/>
    <w:rsid w:val="009D2CC6"/>
    <w:rsid w:val="009D2FA5"/>
    <w:rsid w:val="009D36F4"/>
    <w:rsid w:val="009D39EC"/>
    <w:rsid w:val="009D3B60"/>
    <w:rsid w:val="009D3CE9"/>
    <w:rsid w:val="009D3E62"/>
    <w:rsid w:val="009D400B"/>
    <w:rsid w:val="009D4E5D"/>
    <w:rsid w:val="009D53DB"/>
    <w:rsid w:val="009D54F6"/>
    <w:rsid w:val="009D6193"/>
    <w:rsid w:val="009D6B4D"/>
    <w:rsid w:val="009D707F"/>
    <w:rsid w:val="009D73D7"/>
    <w:rsid w:val="009D7458"/>
    <w:rsid w:val="009D7D8B"/>
    <w:rsid w:val="009E04FC"/>
    <w:rsid w:val="009E13CF"/>
    <w:rsid w:val="009E173F"/>
    <w:rsid w:val="009E1D39"/>
    <w:rsid w:val="009E1F44"/>
    <w:rsid w:val="009E2428"/>
    <w:rsid w:val="009E277A"/>
    <w:rsid w:val="009E2E62"/>
    <w:rsid w:val="009E3FC9"/>
    <w:rsid w:val="009E415F"/>
    <w:rsid w:val="009E41BE"/>
    <w:rsid w:val="009E5164"/>
    <w:rsid w:val="009E53EA"/>
    <w:rsid w:val="009E56FC"/>
    <w:rsid w:val="009E6110"/>
    <w:rsid w:val="009E6604"/>
    <w:rsid w:val="009E678A"/>
    <w:rsid w:val="009E7123"/>
    <w:rsid w:val="009F03B8"/>
    <w:rsid w:val="009F1269"/>
    <w:rsid w:val="009F1296"/>
    <w:rsid w:val="009F1E1D"/>
    <w:rsid w:val="009F28B2"/>
    <w:rsid w:val="009F33E0"/>
    <w:rsid w:val="009F38EC"/>
    <w:rsid w:val="009F43E3"/>
    <w:rsid w:val="009F47C0"/>
    <w:rsid w:val="009F4E3E"/>
    <w:rsid w:val="009F5BB9"/>
    <w:rsid w:val="009F624D"/>
    <w:rsid w:val="009F62BD"/>
    <w:rsid w:val="009F6506"/>
    <w:rsid w:val="009F65A9"/>
    <w:rsid w:val="009F676B"/>
    <w:rsid w:val="009F68F4"/>
    <w:rsid w:val="009F72B8"/>
    <w:rsid w:val="009F7A95"/>
    <w:rsid w:val="009F7F6F"/>
    <w:rsid w:val="00A0029D"/>
    <w:rsid w:val="00A007E5"/>
    <w:rsid w:val="00A00923"/>
    <w:rsid w:val="00A014A4"/>
    <w:rsid w:val="00A0187B"/>
    <w:rsid w:val="00A01F61"/>
    <w:rsid w:val="00A021EF"/>
    <w:rsid w:val="00A02445"/>
    <w:rsid w:val="00A03339"/>
    <w:rsid w:val="00A03546"/>
    <w:rsid w:val="00A03A95"/>
    <w:rsid w:val="00A03EA1"/>
    <w:rsid w:val="00A03F07"/>
    <w:rsid w:val="00A04FFC"/>
    <w:rsid w:val="00A05481"/>
    <w:rsid w:val="00A05952"/>
    <w:rsid w:val="00A05E70"/>
    <w:rsid w:val="00A05EEC"/>
    <w:rsid w:val="00A0663D"/>
    <w:rsid w:val="00A06702"/>
    <w:rsid w:val="00A068C3"/>
    <w:rsid w:val="00A06AA5"/>
    <w:rsid w:val="00A07267"/>
    <w:rsid w:val="00A07A9D"/>
    <w:rsid w:val="00A1064A"/>
    <w:rsid w:val="00A10792"/>
    <w:rsid w:val="00A10D23"/>
    <w:rsid w:val="00A12168"/>
    <w:rsid w:val="00A12630"/>
    <w:rsid w:val="00A12CDE"/>
    <w:rsid w:val="00A12E22"/>
    <w:rsid w:val="00A1309E"/>
    <w:rsid w:val="00A134A2"/>
    <w:rsid w:val="00A15D2A"/>
    <w:rsid w:val="00A16193"/>
    <w:rsid w:val="00A162AF"/>
    <w:rsid w:val="00A163DB"/>
    <w:rsid w:val="00A16A9A"/>
    <w:rsid w:val="00A17858"/>
    <w:rsid w:val="00A17C62"/>
    <w:rsid w:val="00A205E4"/>
    <w:rsid w:val="00A208B7"/>
    <w:rsid w:val="00A20EF7"/>
    <w:rsid w:val="00A2162D"/>
    <w:rsid w:val="00A21DC7"/>
    <w:rsid w:val="00A224B1"/>
    <w:rsid w:val="00A2292B"/>
    <w:rsid w:val="00A23267"/>
    <w:rsid w:val="00A238A0"/>
    <w:rsid w:val="00A23A2E"/>
    <w:rsid w:val="00A246B8"/>
    <w:rsid w:val="00A2501B"/>
    <w:rsid w:val="00A25585"/>
    <w:rsid w:val="00A26A8A"/>
    <w:rsid w:val="00A26D29"/>
    <w:rsid w:val="00A27719"/>
    <w:rsid w:val="00A27FFE"/>
    <w:rsid w:val="00A30CCE"/>
    <w:rsid w:val="00A3138E"/>
    <w:rsid w:val="00A3189F"/>
    <w:rsid w:val="00A31B84"/>
    <w:rsid w:val="00A321EA"/>
    <w:rsid w:val="00A32384"/>
    <w:rsid w:val="00A3281E"/>
    <w:rsid w:val="00A32C34"/>
    <w:rsid w:val="00A33DB9"/>
    <w:rsid w:val="00A35300"/>
    <w:rsid w:val="00A35532"/>
    <w:rsid w:val="00A3759E"/>
    <w:rsid w:val="00A37930"/>
    <w:rsid w:val="00A37AE3"/>
    <w:rsid w:val="00A40018"/>
    <w:rsid w:val="00A406F6"/>
    <w:rsid w:val="00A4085C"/>
    <w:rsid w:val="00A41FA5"/>
    <w:rsid w:val="00A4266E"/>
    <w:rsid w:val="00A42A5A"/>
    <w:rsid w:val="00A42F1C"/>
    <w:rsid w:val="00A43A5B"/>
    <w:rsid w:val="00A43F58"/>
    <w:rsid w:val="00A440EF"/>
    <w:rsid w:val="00A441D9"/>
    <w:rsid w:val="00A47586"/>
    <w:rsid w:val="00A4761A"/>
    <w:rsid w:val="00A50978"/>
    <w:rsid w:val="00A51C12"/>
    <w:rsid w:val="00A51D73"/>
    <w:rsid w:val="00A53566"/>
    <w:rsid w:val="00A53B1E"/>
    <w:rsid w:val="00A54C8B"/>
    <w:rsid w:val="00A55230"/>
    <w:rsid w:val="00A565F1"/>
    <w:rsid w:val="00A569DB"/>
    <w:rsid w:val="00A5731E"/>
    <w:rsid w:val="00A60329"/>
    <w:rsid w:val="00A60664"/>
    <w:rsid w:val="00A61044"/>
    <w:rsid w:val="00A611A1"/>
    <w:rsid w:val="00A615A0"/>
    <w:rsid w:val="00A616B3"/>
    <w:rsid w:val="00A61CA5"/>
    <w:rsid w:val="00A62D12"/>
    <w:rsid w:val="00A63049"/>
    <w:rsid w:val="00A63663"/>
    <w:rsid w:val="00A64E8C"/>
    <w:rsid w:val="00A65F1C"/>
    <w:rsid w:val="00A66906"/>
    <w:rsid w:val="00A66FF9"/>
    <w:rsid w:val="00A672CE"/>
    <w:rsid w:val="00A677DE"/>
    <w:rsid w:val="00A70740"/>
    <w:rsid w:val="00A70B0C"/>
    <w:rsid w:val="00A70D79"/>
    <w:rsid w:val="00A723C8"/>
    <w:rsid w:val="00A726F0"/>
    <w:rsid w:val="00A72E4F"/>
    <w:rsid w:val="00A73066"/>
    <w:rsid w:val="00A730EC"/>
    <w:rsid w:val="00A73165"/>
    <w:rsid w:val="00A73820"/>
    <w:rsid w:val="00A75B3F"/>
    <w:rsid w:val="00A75C30"/>
    <w:rsid w:val="00A75FF2"/>
    <w:rsid w:val="00A7617F"/>
    <w:rsid w:val="00A767B2"/>
    <w:rsid w:val="00A769A7"/>
    <w:rsid w:val="00A76C82"/>
    <w:rsid w:val="00A77A9C"/>
    <w:rsid w:val="00A77DCF"/>
    <w:rsid w:val="00A81316"/>
    <w:rsid w:val="00A814FB"/>
    <w:rsid w:val="00A81613"/>
    <w:rsid w:val="00A81BA4"/>
    <w:rsid w:val="00A83DC0"/>
    <w:rsid w:val="00A84463"/>
    <w:rsid w:val="00A85EE9"/>
    <w:rsid w:val="00A85FD3"/>
    <w:rsid w:val="00A866F0"/>
    <w:rsid w:val="00A8692C"/>
    <w:rsid w:val="00A86982"/>
    <w:rsid w:val="00A9050C"/>
    <w:rsid w:val="00A9182F"/>
    <w:rsid w:val="00A91D37"/>
    <w:rsid w:val="00A91F98"/>
    <w:rsid w:val="00A92120"/>
    <w:rsid w:val="00A92309"/>
    <w:rsid w:val="00A92569"/>
    <w:rsid w:val="00A92660"/>
    <w:rsid w:val="00A928C2"/>
    <w:rsid w:val="00A93178"/>
    <w:rsid w:val="00A93CB9"/>
    <w:rsid w:val="00A949DB"/>
    <w:rsid w:val="00A94CE2"/>
    <w:rsid w:val="00A956F2"/>
    <w:rsid w:val="00A957EF"/>
    <w:rsid w:val="00A959C3"/>
    <w:rsid w:val="00A97189"/>
    <w:rsid w:val="00A97C85"/>
    <w:rsid w:val="00A97E15"/>
    <w:rsid w:val="00AA0206"/>
    <w:rsid w:val="00AA0A68"/>
    <w:rsid w:val="00AA0C8E"/>
    <w:rsid w:val="00AA0CE1"/>
    <w:rsid w:val="00AA0D41"/>
    <w:rsid w:val="00AA1A53"/>
    <w:rsid w:val="00AA1BAD"/>
    <w:rsid w:val="00AA286D"/>
    <w:rsid w:val="00AA2954"/>
    <w:rsid w:val="00AA2BC4"/>
    <w:rsid w:val="00AA38E5"/>
    <w:rsid w:val="00AA4320"/>
    <w:rsid w:val="00AA5090"/>
    <w:rsid w:val="00AA52FE"/>
    <w:rsid w:val="00AA595D"/>
    <w:rsid w:val="00AA5FBE"/>
    <w:rsid w:val="00AA60E8"/>
    <w:rsid w:val="00AA618E"/>
    <w:rsid w:val="00AA6420"/>
    <w:rsid w:val="00AB12D9"/>
    <w:rsid w:val="00AB249F"/>
    <w:rsid w:val="00AB3294"/>
    <w:rsid w:val="00AB33AE"/>
    <w:rsid w:val="00AB376F"/>
    <w:rsid w:val="00AB3C3F"/>
    <w:rsid w:val="00AB4340"/>
    <w:rsid w:val="00AB510C"/>
    <w:rsid w:val="00AB5252"/>
    <w:rsid w:val="00AB5C8A"/>
    <w:rsid w:val="00AB5E75"/>
    <w:rsid w:val="00AB5EA8"/>
    <w:rsid w:val="00AB6C36"/>
    <w:rsid w:val="00AB6FA5"/>
    <w:rsid w:val="00AB7B62"/>
    <w:rsid w:val="00AB7D28"/>
    <w:rsid w:val="00AC0686"/>
    <w:rsid w:val="00AC1BAF"/>
    <w:rsid w:val="00AC1E12"/>
    <w:rsid w:val="00AC2A0C"/>
    <w:rsid w:val="00AC2D4D"/>
    <w:rsid w:val="00AC2F1D"/>
    <w:rsid w:val="00AC33D3"/>
    <w:rsid w:val="00AC4309"/>
    <w:rsid w:val="00AC4707"/>
    <w:rsid w:val="00AC4C93"/>
    <w:rsid w:val="00AC59A7"/>
    <w:rsid w:val="00AC69BF"/>
    <w:rsid w:val="00AC6A62"/>
    <w:rsid w:val="00AD0159"/>
    <w:rsid w:val="00AD12EE"/>
    <w:rsid w:val="00AD1467"/>
    <w:rsid w:val="00AD14B3"/>
    <w:rsid w:val="00AD1D0C"/>
    <w:rsid w:val="00AD2FDB"/>
    <w:rsid w:val="00AD3962"/>
    <w:rsid w:val="00AD3BF9"/>
    <w:rsid w:val="00AD3C0D"/>
    <w:rsid w:val="00AD4829"/>
    <w:rsid w:val="00AD617E"/>
    <w:rsid w:val="00AD66FC"/>
    <w:rsid w:val="00AD7109"/>
    <w:rsid w:val="00AD745C"/>
    <w:rsid w:val="00AD7A82"/>
    <w:rsid w:val="00AE0413"/>
    <w:rsid w:val="00AE0AE1"/>
    <w:rsid w:val="00AE111A"/>
    <w:rsid w:val="00AE11DC"/>
    <w:rsid w:val="00AE1731"/>
    <w:rsid w:val="00AE1757"/>
    <w:rsid w:val="00AE1D7A"/>
    <w:rsid w:val="00AE1FF9"/>
    <w:rsid w:val="00AE239E"/>
    <w:rsid w:val="00AE2574"/>
    <w:rsid w:val="00AE4234"/>
    <w:rsid w:val="00AE453D"/>
    <w:rsid w:val="00AE4944"/>
    <w:rsid w:val="00AE5C92"/>
    <w:rsid w:val="00AE6EAB"/>
    <w:rsid w:val="00AE7513"/>
    <w:rsid w:val="00AE7A54"/>
    <w:rsid w:val="00AF0CE6"/>
    <w:rsid w:val="00AF0DDE"/>
    <w:rsid w:val="00AF165C"/>
    <w:rsid w:val="00AF1993"/>
    <w:rsid w:val="00AF1BBD"/>
    <w:rsid w:val="00AF1BD9"/>
    <w:rsid w:val="00AF2162"/>
    <w:rsid w:val="00AF237E"/>
    <w:rsid w:val="00AF2CF9"/>
    <w:rsid w:val="00AF303F"/>
    <w:rsid w:val="00AF47BC"/>
    <w:rsid w:val="00AF4963"/>
    <w:rsid w:val="00AF4F88"/>
    <w:rsid w:val="00AF5095"/>
    <w:rsid w:val="00AF50BA"/>
    <w:rsid w:val="00AF6419"/>
    <w:rsid w:val="00AF6559"/>
    <w:rsid w:val="00AF7855"/>
    <w:rsid w:val="00AF78F0"/>
    <w:rsid w:val="00AF7B51"/>
    <w:rsid w:val="00B00938"/>
    <w:rsid w:val="00B014AE"/>
    <w:rsid w:val="00B01704"/>
    <w:rsid w:val="00B0185D"/>
    <w:rsid w:val="00B02192"/>
    <w:rsid w:val="00B02426"/>
    <w:rsid w:val="00B02944"/>
    <w:rsid w:val="00B02EE3"/>
    <w:rsid w:val="00B0312A"/>
    <w:rsid w:val="00B03E2E"/>
    <w:rsid w:val="00B03E89"/>
    <w:rsid w:val="00B04EE6"/>
    <w:rsid w:val="00B052ED"/>
    <w:rsid w:val="00B06780"/>
    <w:rsid w:val="00B0698B"/>
    <w:rsid w:val="00B06B35"/>
    <w:rsid w:val="00B06C6D"/>
    <w:rsid w:val="00B0705C"/>
    <w:rsid w:val="00B07AD7"/>
    <w:rsid w:val="00B07BF7"/>
    <w:rsid w:val="00B10375"/>
    <w:rsid w:val="00B1121D"/>
    <w:rsid w:val="00B11F03"/>
    <w:rsid w:val="00B14256"/>
    <w:rsid w:val="00B14478"/>
    <w:rsid w:val="00B14AD2"/>
    <w:rsid w:val="00B15573"/>
    <w:rsid w:val="00B15D77"/>
    <w:rsid w:val="00B164CF"/>
    <w:rsid w:val="00B200CB"/>
    <w:rsid w:val="00B21496"/>
    <w:rsid w:val="00B217A4"/>
    <w:rsid w:val="00B2185E"/>
    <w:rsid w:val="00B21C52"/>
    <w:rsid w:val="00B21C72"/>
    <w:rsid w:val="00B224DB"/>
    <w:rsid w:val="00B22C47"/>
    <w:rsid w:val="00B230FE"/>
    <w:rsid w:val="00B2331E"/>
    <w:rsid w:val="00B234A6"/>
    <w:rsid w:val="00B23688"/>
    <w:rsid w:val="00B240FA"/>
    <w:rsid w:val="00B24A3B"/>
    <w:rsid w:val="00B25BAE"/>
    <w:rsid w:val="00B25F57"/>
    <w:rsid w:val="00B268B7"/>
    <w:rsid w:val="00B26E7D"/>
    <w:rsid w:val="00B2720C"/>
    <w:rsid w:val="00B27F60"/>
    <w:rsid w:val="00B30971"/>
    <w:rsid w:val="00B30CA4"/>
    <w:rsid w:val="00B32258"/>
    <w:rsid w:val="00B32863"/>
    <w:rsid w:val="00B32D07"/>
    <w:rsid w:val="00B339ED"/>
    <w:rsid w:val="00B33E79"/>
    <w:rsid w:val="00B33F5D"/>
    <w:rsid w:val="00B354E4"/>
    <w:rsid w:val="00B3571D"/>
    <w:rsid w:val="00B35B7F"/>
    <w:rsid w:val="00B35E68"/>
    <w:rsid w:val="00B361E6"/>
    <w:rsid w:val="00B364C8"/>
    <w:rsid w:val="00B37322"/>
    <w:rsid w:val="00B374E6"/>
    <w:rsid w:val="00B3764C"/>
    <w:rsid w:val="00B37D09"/>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0DA"/>
    <w:rsid w:val="00B501EC"/>
    <w:rsid w:val="00B50776"/>
    <w:rsid w:val="00B515B2"/>
    <w:rsid w:val="00B519C3"/>
    <w:rsid w:val="00B51B9A"/>
    <w:rsid w:val="00B52BFB"/>
    <w:rsid w:val="00B52DDB"/>
    <w:rsid w:val="00B530DE"/>
    <w:rsid w:val="00B5331D"/>
    <w:rsid w:val="00B5419F"/>
    <w:rsid w:val="00B54386"/>
    <w:rsid w:val="00B55BBE"/>
    <w:rsid w:val="00B55F88"/>
    <w:rsid w:val="00B55FA4"/>
    <w:rsid w:val="00B561C4"/>
    <w:rsid w:val="00B56F83"/>
    <w:rsid w:val="00B578FF"/>
    <w:rsid w:val="00B57A7F"/>
    <w:rsid w:val="00B57E85"/>
    <w:rsid w:val="00B60D26"/>
    <w:rsid w:val="00B6101A"/>
    <w:rsid w:val="00B62C1F"/>
    <w:rsid w:val="00B62F68"/>
    <w:rsid w:val="00B63F49"/>
    <w:rsid w:val="00B64DDD"/>
    <w:rsid w:val="00B6529B"/>
    <w:rsid w:val="00B65660"/>
    <w:rsid w:val="00B65EAD"/>
    <w:rsid w:val="00B65FD9"/>
    <w:rsid w:val="00B667B4"/>
    <w:rsid w:val="00B669CD"/>
    <w:rsid w:val="00B66AC6"/>
    <w:rsid w:val="00B66BEF"/>
    <w:rsid w:val="00B66C13"/>
    <w:rsid w:val="00B6708A"/>
    <w:rsid w:val="00B672C6"/>
    <w:rsid w:val="00B679B0"/>
    <w:rsid w:val="00B67DE3"/>
    <w:rsid w:val="00B70C8E"/>
    <w:rsid w:val="00B71235"/>
    <w:rsid w:val="00B71CD8"/>
    <w:rsid w:val="00B7360E"/>
    <w:rsid w:val="00B74B93"/>
    <w:rsid w:val="00B76031"/>
    <w:rsid w:val="00B77C88"/>
    <w:rsid w:val="00B80A56"/>
    <w:rsid w:val="00B81F33"/>
    <w:rsid w:val="00B82F33"/>
    <w:rsid w:val="00B82F5D"/>
    <w:rsid w:val="00B833A6"/>
    <w:rsid w:val="00B846EB"/>
    <w:rsid w:val="00B856E7"/>
    <w:rsid w:val="00B857C1"/>
    <w:rsid w:val="00B85ED6"/>
    <w:rsid w:val="00B876F0"/>
    <w:rsid w:val="00B87DCB"/>
    <w:rsid w:val="00B87FE1"/>
    <w:rsid w:val="00B911A5"/>
    <w:rsid w:val="00B9125C"/>
    <w:rsid w:val="00B92049"/>
    <w:rsid w:val="00B92698"/>
    <w:rsid w:val="00B92E97"/>
    <w:rsid w:val="00B92FBC"/>
    <w:rsid w:val="00B93830"/>
    <w:rsid w:val="00B939E0"/>
    <w:rsid w:val="00B93C10"/>
    <w:rsid w:val="00B95879"/>
    <w:rsid w:val="00B96095"/>
    <w:rsid w:val="00B96434"/>
    <w:rsid w:val="00B96B92"/>
    <w:rsid w:val="00B96D56"/>
    <w:rsid w:val="00B97CE7"/>
    <w:rsid w:val="00B97D2F"/>
    <w:rsid w:val="00BA0A81"/>
    <w:rsid w:val="00BA0DE6"/>
    <w:rsid w:val="00BA0F6E"/>
    <w:rsid w:val="00BA1C73"/>
    <w:rsid w:val="00BA23A5"/>
    <w:rsid w:val="00BA2B1F"/>
    <w:rsid w:val="00BA3114"/>
    <w:rsid w:val="00BA38F3"/>
    <w:rsid w:val="00BA6524"/>
    <w:rsid w:val="00BA7619"/>
    <w:rsid w:val="00BA776E"/>
    <w:rsid w:val="00BB042A"/>
    <w:rsid w:val="00BB1101"/>
    <w:rsid w:val="00BB1CE2"/>
    <w:rsid w:val="00BB3C8F"/>
    <w:rsid w:val="00BB462F"/>
    <w:rsid w:val="00BB61A4"/>
    <w:rsid w:val="00BB6B33"/>
    <w:rsid w:val="00BB74F3"/>
    <w:rsid w:val="00BC0D27"/>
    <w:rsid w:val="00BC0FB1"/>
    <w:rsid w:val="00BC22AD"/>
    <w:rsid w:val="00BC2519"/>
    <w:rsid w:val="00BC2C0E"/>
    <w:rsid w:val="00BC2F4D"/>
    <w:rsid w:val="00BC3080"/>
    <w:rsid w:val="00BC3532"/>
    <w:rsid w:val="00BC3B90"/>
    <w:rsid w:val="00BC45B1"/>
    <w:rsid w:val="00BC46D4"/>
    <w:rsid w:val="00BC486F"/>
    <w:rsid w:val="00BC50D6"/>
    <w:rsid w:val="00BC5297"/>
    <w:rsid w:val="00BC623F"/>
    <w:rsid w:val="00BC7674"/>
    <w:rsid w:val="00BC7A61"/>
    <w:rsid w:val="00BD0446"/>
    <w:rsid w:val="00BD088B"/>
    <w:rsid w:val="00BD0C0A"/>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6F4"/>
    <w:rsid w:val="00BD6CFF"/>
    <w:rsid w:val="00BD7FE3"/>
    <w:rsid w:val="00BE0F5C"/>
    <w:rsid w:val="00BE12B1"/>
    <w:rsid w:val="00BE151A"/>
    <w:rsid w:val="00BE25E4"/>
    <w:rsid w:val="00BE28DF"/>
    <w:rsid w:val="00BE295E"/>
    <w:rsid w:val="00BE2BF0"/>
    <w:rsid w:val="00BE2D07"/>
    <w:rsid w:val="00BE322D"/>
    <w:rsid w:val="00BE3615"/>
    <w:rsid w:val="00BE3B7E"/>
    <w:rsid w:val="00BE4923"/>
    <w:rsid w:val="00BE4A82"/>
    <w:rsid w:val="00BE4B26"/>
    <w:rsid w:val="00BE51E7"/>
    <w:rsid w:val="00BE5BD2"/>
    <w:rsid w:val="00BE6282"/>
    <w:rsid w:val="00BE671D"/>
    <w:rsid w:val="00BE6851"/>
    <w:rsid w:val="00BE6B3D"/>
    <w:rsid w:val="00BE6C7B"/>
    <w:rsid w:val="00BE7438"/>
    <w:rsid w:val="00BE7695"/>
    <w:rsid w:val="00BE76E3"/>
    <w:rsid w:val="00BF04A5"/>
    <w:rsid w:val="00BF178E"/>
    <w:rsid w:val="00BF18AE"/>
    <w:rsid w:val="00BF1A42"/>
    <w:rsid w:val="00BF1B5B"/>
    <w:rsid w:val="00BF26C2"/>
    <w:rsid w:val="00BF297E"/>
    <w:rsid w:val="00BF2F1B"/>
    <w:rsid w:val="00BF38C5"/>
    <w:rsid w:val="00BF38F5"/>
    <w:rsid w:val="00BF5C12"/>
    <w:rsid w:val="00BF5F02"/>
    <w:rsid w:val="00BF61E0"/>
    <w:rsid w:val="00C01045"/>
    <w:rsid w:val="00C012EF"/>
    <w:rsid w:val="00C015AA"/>
    <w:rsid w:val="00C01D0C"/>
    <w:rsid w:val="00C01D34"/>
    <w:rsid w:val="00C027D8"/>
    <w:rsid w:val="00C02840"/>
    <w:rsid w:val="00C02CF9"/>
    <w:rsid w:val="00C04436"/>
    <w:rsid w:val="00C048E4"/>
    <w:rsid w:val="00C049E7"/>
    <w:rsid w:val="00C04A98"/>
    <w:rsid w:val="00C04D92"/>
    <w:rsid w:val="00C04FD4"/>
    <w:rsid w:val="00C050BF"/>
    <w:rsid w:val="00C05198"/>
    <w:rsid w:val="00C0528A"/>
    <w:rsid w:val="00C05348"/>
    <w:rsid w:val="00C0539F"/>
    <w:rsid w:val="00C053AC"/>
    <w:rsid w:val="00C05A8F"/>
    <w:rsid w:val="00C05E88"/>
    <w:rsid w:val="00C0634E"/>
    <w:rsid w:val="00C06588"/>
    <w:rsid w:val="00C06610"/>
    <w:rsid w:val="00C07A53"/>
    <w:rsid w:val="00C07BBA"/>
    <w:rsid w:val="00C07CA3"/>
    <w:rsid w:val="00C1027D"/>
    <w:rsid w:val="00C10BD3"/>
    <w:rsid w:val="00C10CF6"/>
    <w:rsid w:val="00C110CD"/>
    <w:rsid w:val="00C124B5"/>
    <w:rsid w:val="00C1255A"/>
    <w:rsid w:val="00C12C0A"/>
    <w:rsid w:val="00C130AC"/>
    <w:rsid w:val="00C13A9A"/>
    <w:rsid w:val="00C1446A"/>
    <w:rsid w:val="00C15502"/>
    <w:rsid w:val="00C158FA"/>
    <w:rsid w:val="00C15D8A"/>
    <w:rsid w:val="00C163E0"/>
    <w:rsid w:val="00C163F1"/>
    <w:rsid w:val="00C16493"/>
    <w:rsid w:val="00C20482"/>
    <w:rsid w:val="00C21EB8"/>
    <w:rsid w:val="00C22AD8"/>
    <w:rsid w:val="00C2438F"/>
    <w:rsid w:val="00C257DE"/>
    <w:rsid w:val="00C26715"/>
    <w:rsid w:val="00C26B57"/>
    <w:rsid w:val="00C27E86"/>
    <w:rsid w:val="00C3004F"/>
    <w:rsid w:val="00C307FE"/>
    <w:rsid w:val="00C3081D"/>
    <w:rsid w:val="00C31663"/>
    <w:rsid w:val="00C316C1"/>
    <w:rsid w:val="00C32BE3"/>
    <w:rsid w:val="00C32F04"/>
    <w:rsid w:val="00C35654"/>
    <w:rsid w:val="00C37BE3"/>
    <w:rsid w:val="00C37E35"/>
    <w:rsid w:val="00C42368"/>
    <w:rsid w:val="00C4268A"/>
    <w:rsid w:val="00C42CF4"/>
    <w:rsid w:val="00C437DE"/>
    <w:rsid w:val="00C43FCA"/>
    <w:rsid w:val="00C44612"/>
    <w:rsid w:val="00C44EFC"/>
    <w:rsid w:val="00C44F74"/>
    <w:rsid w:val="00C451A1"/>
    <w:rsid w:val="00C47B40"/>
    <w:rsid w:val="00C5049B"/>
    <w:rsid w:val="00C507BA"/>
    <w:rsid w:val="00C51104"/>
    <w:rsid w:val="00C51238"/>
    <w:rsid w:val="00C51761"/>
    <w:rsid w:val="00C52688"/>
    <w:rsid w:val="00C53950"/>
    <w:rsid w:val="00C53E08"/>
    <w:rsid w:val="00C55010"/>
    <w:rsid w:val="00C557F1"/>
    <w:rsid w:val="00C55AE0"/>
    <w:rsid w:val="00C5637C"/>
    <w:rsid w:val="00C579F4"/>
    <w:rsid w:val="00C57AB8"/>
    <w:rsid w:val="00C57EB0"/>
    <w:rsid w:val="00C6015C"/>
    <w:rsid w:val="00C6032C"/>
    <w:rsid w:val="00C60EA9"/>
    <w:rsid w:val="00C61BDD"/>
    <w:rsid w:val="00C61E59"/>
    <w:rsid w:val="00C622AF"/>
    <w:rsid w:val="00C629A4"/>
    <w:rsid w:val="00C62E1B"/>
    <w:rsid w:val="00C63061"/>
    <w:rsid w:val="00C63EFD"/>
    <w:rsid w:val="00C64290"/>
    <w:rsid w:val="00C64955"/>
    <w:rsid w:val="00C6497F"/>
    <w:rsid w:val="00C64CDF"/>
    <w:rsid w:val="00C64DE3"/>
    <w:rsid w:val="00C654AF"/>
    <w:rsid w:val="00C65748"/>
    <w:rsid w:val="00C66AB0"/>
    <w:rsid w:val="00C66C85"/>
    <w:rsid w:val="00C6731F"/>
    <w:rsid w:val="00C709F8"/>
    <w:rsid w:val="00C70B61"/>
    <w:rsid w:val="00C71764"/>
    <w:rsid w:val="00C721C9"/>
    <w:rsid w:val="00C72851"/>
    <w:rsid w:val="00C72E8A"/>
    <w:rsid w:val="00C72EEB"/>
    <w:rsid w:val="00C7355B"/>
    <w:rsid w:val="00C73745"/>
    <w:rsid w:val="00C7410C"/>
    <w:rsid w:val="00C745E1"/>
    <w:rsid w:val="00C74E28"/>
    <w:rsid w:val="00C7542B"/>
    <w:rsid w:val="00C7544F"/>
    <w:rsid w:val="00C7554F"/>
    <w:rsid w:val="00C75E32"/>
    <w:rsid w:val="00C75FF0"/>
    <w:rsid w:val="00C7657E"/>
    <w:rsid w:val="00C76727"/>
    <w:rsid w:val="00C7691D"/>
    <w:rsid w:val="00C76C64"/>
    <w:rsid w:val="00C77341"/>
    <w:rsid w:val="00C773D5"/>
    <w:rsid w:val="00C774EA"/>
    <w:rsid w:val="00C77A61"/>
    <w:rsid w:val="00C8003F"/>
    <w:rsid w:val="00C816BD"/>
    <w:rsid w:val="00C82923"/>
    <w:rsid w:val="00C8325F"/>
    <w:rsid w:val="00C84427"/>
    <w:rsid w:val="00C84F59"/>
    <w:rsid w:val="00C84FF6"/>
    <w:rsid w:val="00C855E5"/>
    <w:rsid w:val="00C855FA"/>
    <w:rsid w:val="00C856D8"/>
    <w:rsid w:val="00C85EF5"/>
    <w:rsid w:val="00C86313"/>
    <w:rsid w:val="00C863A1"/>
    <w:rsid w:val="00C86564"/>
    <w:rsid w:val="00C8733F"/>
    <w:rsid w:val="00C87679"/>
    <w:rsid w:val="00C879B7"/>
    <w:rsid w:val="00C87CCB"/>
    <w:rsid w:val="00C90332"/>
    <w:rsid w:val="00C90777"/>
    <w:rsid w:val="00C907CB"/>
    <w:rsid w:val="00C92ECF"/>
    <w:rsid w:val="00C93AEC"/>
    <w:rsid w:val="00C941ED"/>
    <w:rsid w:val="00C942AB"/>
    <w:rsid w:val="00C947C9"/>
    <w:rsid w:val="00C94C6E"/>
    <w:rsid w:val="00C94E21"/>
    <w:rsid w:val="00C94F15"/>
    <w:rsid w:val="00C954F0"/>
    <w:rsid w:val="00C95B04"/>
    <w:rsid w:val="00C95EA1"/>
    <w:rsid w:val="00C96567"/>
    <w:rsid w:val="00C965AA"/>
    <w:rsid w:val="00C96673"/>
    <w:rsid w:val="00C96900"/>
    <w:rsid w:val="00C96B24"/>
    <w:rsid w:val="00C96D17"/>
    <w:rsid w:val="00C97510"/>
    <w:rsid w:val="00C976CC"/>
    <w:rsid w:val="00C9775E"/>
    <w:rsid w:val="00C97C3C"/>
    <w:rsid w:val="00CA07CB"/>
    <w:rsid w:val="00CA0C16"/>
    <w:rsid w:val="00CA16C7"/>
    <w:rsid w:val="00CA26A2"/>
    <w:rsid w:val="00CA26E8"/>
    <w:rsid w:val="00CA5C68"/>
    <w:rsid w:val="00CA5C9A"/>
    <w:rsid w:val="00CA5FE1"/>
    <w:rsid w:val="00CA6891"/>
    <w:rsid w:val="00CA699E"/>
    <w:rsid w:val="00CA6D42"/>
    <w:rsid w:val="00CA7AD5"/>
    <w:rsid w:val="00CB029B"/>
    <w:rsid w:val="00CB1057"/>
    <w:rsid w:val="00CB11F8"/>
    <w:rsid w:val="00CB156D"/>
    <w:rsid w:val="00CB167C"/>
    <w:rsid w:val="00CB16DD"/>
    <w:rsid w:val="00CB1C74"/>
    <w:rsid w:val="00CB1F80"/>
    <w:rsid w:val="00CB261B"/>
    <w:rsid w:val="00CB28E5"/>
    <w:rsid w:val="00CB35AD"/>
    <w:rsid w:val="00CB582A"/>
    <w:rsid w:val="00CB5929"/>
    <w:rsid w:val="00CB5C0A"/>
    <w:rsid w:val="00CB6728"/>
    <w:rsid w:val="00CB69D7"/>
    <w:rsid w:val="00CB7142"/>
    <w:rsid w:val="00CB7654"/>
    <w:rsid w:val="00CC059D"/>
    <w:rsid w:val="00CC0690"/>
    <w:rsid w:val="00CC077E"/>
    <w:rsid w:val="00CC0950"/>
    <w:rsid w:val="00CC0A24"/>
    <w:rsid w:val="00CC0C8D"/>
    <w:rsid w:val="00CC0D8D"/>
    <w:rsid w:val="00CC0F64"/>
    <w:rsid w:val="00CC1BB6"/>
    <w:rsid w:val="00CC1EE4"/>
    <w:rsid w:val="00CC3397"/>
    <w:rsid w:val="00CC3543"/>
    <w:rsid w:val="00CC39CA"/>
    <w:rsid w:val="00CC4454"/>
    <w:rsid w:val="00CC4499"/>
    <w:rsid w:val="00CC7D93"/>
    <w:rsid w:val="00CD0765"/>
    <w:rsid w:val="00CD10A2"/>
    <w:rsid w:val="00CD202A"/>
    <w:rsid w:val="00CD2313"/>
    <w:rsid w:val="00CD3B96"/>
    <w:rsid w:val="00CD3D9F"/>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2A8F"/>
    <w:rsid w:val="00CE3270"/>
    <w:rsid w:val="00CE394F"/>
    <w:rsid w:val="00CE399A"/>
    <w:rsid w:val="00CE40BB"/>
    <w:rsid w:val="00CE47D2"/>
    <w:rsid w:val="00CE4BC2"/>
    <w:rsid w:val="00CE4EED"/>
    <w:rsid w:val="00CE5542"/>
    <w:rsid w:val="00CE5839"/>
    <w:rsid w:val="00CE6A09"/>
    <w:rsid w:val="00CE6F60"/>
    <w:rsid w:val="00CE6F72"/>
    <w:rsid w:val="00CE79AC"/>
    <w:rsid w:val="00CF0536"/>
    <w:rsid w:val="00CF0D6E"/>
    <w:rsid w:val="00CF10DC"/>
    <w:rsid w:val="00CF1900"/>
    <w:rsid w:val="00CF1D05"/>
    <w:rsid w:val="00CF25A7"/>
    <w:rsid w:val="00CF3067"/>
    <w:rsid w:val="00CF3160"/>
    <w:rsid w:val="00CF3182"/>
    <w:rsid w:val="00CF3385"/>
    <w:rsid w:val="00CF3453"/>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619"/>
    <w:rsid w:val="00D0373F"/>
    <w:rsid w:val="00D03A9D"/>
    <w:rsid w:val="00D03ECC"/>
    <w:rsid w:val="00D04210"/>
    <w:rsid w:val="00D0469A"/>
    <w:rsid w:val="00D04A20"/>
    <w:rsid w:val="00D04D0D"/>
    <w:rsid w:val="00D05131"/>
    <w:rsid w:val="00D05150"/>
    <w:rsid w:val="00D05692"/>
    <w:rsid w:val="00D058AA"/>
    <w:rsid w:val="00D05927"/>
    <w:rsid w:val="00D05C91"/>
    <w:rsid w:val="00D0603F"/>
    <w:rsid w:val="00D06049"/>
    <w:rsid w:val="00D060CD"/>
    <w:rsid w:val="00D06208"/>
    <w:rsid w:val="00D0770A"/>
    <w:rsid w:val="00D07C50"/>
    <w:rsid w:val="00D1079E"/>
    <w:rsid w:val="00D10AF8"/>
    <w:rsid w:val="00D11FCA"/>
    <w:rsid w:val="00D120A4"/>
    <w:rsid w:val="00D123BA"/>
    <w:rsid w:val="00D126CB"/>
    <w:rsid w:val="00D128C0"/>
    <w:rsid w:val="00D12F15"/>
    <w:rsid w:val="00D12F20"/>
    <w:rsid w:val="00D1300F"/>
    <w:rsid w:val="00D13342"/>
    <w:rsid w:val="00D1340F"/>
    <w:rsid w:val="00D1380D"/>
    <w:rsid w:val="00D13948"/>
    <w:rsid w:val="00D13A3E"/>
    <w:rsid w:val="00D13E87"/>
    <w:rsid w:val="00D13F59"/>
    <w:rsid w:val="00D15824"/>
    <w:rsid w:val="00D15835"/>
    <w:rsid w:val="00D158F2"/>
    <w:rsid w:val="00D15936"/>
    <w:rsid w:val="00D15948"/>
    <w:rsid w:val="00D16785"/>
    <w:rsid w:val="00D16794"/>
    <w:rsid w:val="00D16BC1"/>
    <w:rsid w:val="00D1787F"/>
    <w:rsid w:val="00D20BA0"/>
    <w:rsid w:val="00D21001"/>
    <w:rsid w:val="00D210A6"/>
    <w:rsid w:val="00D2168F"/>
    <w:rsid w:val="00D21F73"/>
    <w:rsid w:val="00D2313B"/>
    <w:rsid w:val="00D2329C"/>
    <w:rsid w:val="00D23A07"/>
    <w:rsid w:val="00D23AE2"/>
    <w:rsid w:val="00D25244"/>
    <w:rsid w:val="00D254BB"/>
    <w:rsid w:val="00D254D8"/>
    <w:rsid w:val="00D25ECE"/>
    <w:rsid w:val="00D2644F"/>
    <w:rsid w:val="00D26847"/>
    <w:rsid w:val="00D26CF5"/>
    <w:rsid w:val="00D304ED"/>
    <w:rsid w:val="00D3082D"/>
    <w:rsid w:val="00D30E72"/>
    <w:rsid w:val="00D311F9"/>
    <w:rsid w:val="00D31767"/>
    <w:rsid w:val="00D31F67"/>
    <w:rsid w:val="00D320F2"/>
    <w:rsid w:val="00D32B50"/>
    <w:rsid w:val="00D32E59"/>
    <w:rsid w:val="00D33582"/>
    <w:rsid w:val="00D337C1"/>
    <w:rsid w:val="00D33DE1"/>
    <w:rsid w:val="00D3550F"/>
    <w:rsid w:val="00D36535"/>
    <w:rsid w:val="00D366DD"/>
    <w:rsid w:val="00D37616"/>
    <w:rsid w:val="00D376CE"/>
    <w:rsid w:val="00D37A89"/>
    <w:rsid w:val="00D4027F"/>
    <w:rsid w:val="00D40727"/>
    <w:rsid w:val="00D41A82"/>
    <w:rsid w:val="00D41EA9"/>
    <w:rsid w:val="00D41F8C"/>
    <w:rsid w:val="00D42293"/>
    <w:rsid w:val="00D42F91"/>
    <w:rsid w:val="00D43286"/>
    <w:rsid w:val="00D437F7"/>
    <w:rsid w:val="00D4417D"/>
    <w:rsid w:val="00D444BC"/>
    <w:rsid w:val="00D4450D"/>
    <w:rsid w:val="00D449DB"/>
    <w:rsid w:val="00D46A03"/>
    <w:rsid w:val="00D46EDF"/>
    <w:rsid w:val="00D506F6"/>
    <w:rsid w:val="00D51208"/>
    <w:rsid w:val="00D5123E"/>
    <w:rsid w:val="00D523F2"/>
    <w:rsid w:val="00D52488"/>
    <w:rsid w:val="00D528BC"/>
    <w:rsid w:val="00D52DF6"/>
    <w:rsid w:val="00D52FF6"/>
    <w:rsid w:val="00D533D0"/>
    <w:rsid w:val="00D53F5C"/>
    <w:rsid w:val="00D543AA"/>
    <w:rsid w:val="00D5443D"/>
    <w:rsid w:val="00D54556"/>
    <w:rsid w:val="00D565E4"/>
    <w:rsid w:val="00D5725F"/>
    <w:rsid w:val="00D573AF"/>
    <w:rsid w:val="00D57FD9"/>
    <w:rsid w:val="00D60CBE"/>
    <w:rsid w:val="00D60E55"/>
    <w:rsid w:val="00D61545"/>
    <w:rsid w:val="00D62696"/>
    <w:rsid w:val="00D6300E"/>
    <w:rsid w:val="00D632D9"/>
    <w:rsid w:val="00D63D35"/>
    <w:rsid w:val="00D63ED8"/>
    <w:rsid w:val="00D64131"/>
    <w:rsid w:val="00D64747"/>
    <w:rsid w:val="00D6488E"/>
    <w:rsid w:val="00D64DE6"/>
    <w:rsid w:val="00D65930"/>
    <w:rsid w:val="00D67C6B"/>
    <w:rsid w:val="00D70187"/>
    <w:rsid w:val="00D70754"/>
    <w:rsid w:val="00D718EC"/>
    <w:rsid w:val="00D7252F"/>
    <w:rsid w:val="00D72CAD"/>
    <w:rsid w:val="00D72EF7"/>
    <w:rsid w:val="00D7307D"/>
    <w:rsid w:val="00D731EF"/>
    <w:rsid w:val="00D73A47"/>
    <w:rsid w:val="00D744B8"/>
    <w:rsid w:val="00D747DD"/>
    <w:rsid w:val="00D75CE9"/>
    <w:rsid w:val="00D762F6"/>
    <w:rsid w:val="00D766E5"/>
    <w:rsid w:val="00D76864"/>
    <w:rsid w:val="00D77305"/>
    <w:rsid w:val="00D776C8"/>
    <w:rsid w:val="00D77DD5"/>
    <w:rsid w:val="00D80511"/>
    <w:rsid w:val="00D807AB"/>
    <w:rsid w:val="00D80CF6"/>
    <w:rsid w:val="00D81608"/>
    <w:rsid w:val="00D82418"/>
    <w:rsid w:val="00D82528"/>
    <w:rsid w:val="00D82FD0"/>
    <w:rsid w:val="00D82FDB"/>
    <w:rsid w:val="00D83755"/>
    <w:rsid w:val="00D8418A"/>
    <w:rsid w:val="00D844E4"/>
    <w:rsid w:val="00D8450A"/>
    <w:rsid w:val="00D84DFA"/>
    <w:rsid w:val="00D85C91"/>
    <w:rsid w:val="00D862E7"/>
    <w:rsid w:val="00D86FAF"/>
    <w:rsid w:val="00D86FC6"/>
    <w:rsid w:val="00D8700B"/>
    <w:rsid w:val="00D87294"/>
    <w:rsid w:val="00D87FD6"/>
    <w:rsid w:val="00D90774"/>
    <w:rsid w:val="00D90BD7"/>
    <w:rsid w:val="00D92B4C"/>
    <w:rsid w:val="00D92E80"/>
    <w:rsid w:val="00D931AB"/>
    <w:rsid w:val="00D932F9"/>
    <w:rsid w:val="00D935B6"/>
    <w:rsid w:val="00D93672"/>
    <w:rsid w:val="00D949F2"/>
    <w:rsid w:val="00D95872"/>
    <w:rsid w:val="00D95E87"/>
    <w:rsid w:val="00D95F54"/>
    <w:rsid w:val="00D962AC"/>
    <w:rsid w:val="00D96DF3"/>
    <w:rsid w:val="00DA03F7"/>
    <w:rsid w:val="00DA13FD"/>
    <w:rsid w:val="00DA187E"/>
    <w:rsid w:val="00DA240A"/>
    <w:rsid w:val="00DA26DB"/>
    <w:rsid w:val="00DA3D7D"/>
    <w:rsid w:val="00DA4140"/>
    <w:rsid w:val="00DA4213"/>
    <w:rsid w:val="00DA6379"/>
    <w:rsid w:val="00DA6F36"/>
    <w:rsid w:val="00DA7920"/>
    <w:rsid w:val="00DB05A1"/>
    <w:rsid w:val="00DB07C3"/>
    <w:rsid w:val="00DB0887"/>
    <w:rsid w:val="00DB123F"/>
    <w:rsid w:val="00DB14F7"/>
    <w:rsid w:val="00DB31C6"/>
    <w:rsid w:val="00DB3EC8"/>
    <w:rsid w:val="00DB4148"/>
    <w:rsid w:val="00DB4203"/>
    <w:rsid w:val="00DB4407"/>
    <w:rsid w:val="00DB480D"/>
    <w:rsid w:val="00DB505F"/>
    <w:rsid w:val="00DB512F"/>
    <w:rsid w:val="00DB66F0"/>
    <w:rsid w:val="00DB6E1D"/>
    <w:rsid w:val="00DB7050"/>
    <w:rsid w:val="00DB75AF"/>
    <w:rsid w:val="00DC0482"/>
    <w:rsid w:val="00DC0A35"/>
    <w:rsid w:val="00DC1101"/>
    <w:rsid w:val="00DC1501"/>
    <w:rsid w:val="00DC1A68"/>
    <w:rsid w:val="00DC1D07"/>
    <w:rsid w:val="00DC1E95"/>
    <w:rsid w:val="00DC229B"/>
    <w:rsid w:val="00DC24D0"/>
    <w:rsid w:val="00DC270C"/>
    <w:rsid w:val="00DC2A54"/>
    <w:rsid w:val="00DC3A5B"/>
    <w:rsid w:val="00DC4024"/>
    <w:rsid w:val="00DC432F"/>
    <w:rsid w:val="00DC457B"/>
    <w:rsid w:val="00DC4E5B"/>
    <w:rsid w:val="00DC532F"/>
    <w:rsid w:val="00DC5578"/>
    <w:rsid w:val="00DC5658"/>
    <w:rsid w:val="00DC66E5"/>
    <w:rsid w:val="00DC6BA2"/>
    <w:rsid w:val="00DC72D8"/>
    <w:rsid w:val="00DC75AC"/>
    <w:rsid w:val="00DC78D5"/>
    <w:rsid w:val="00DC7EEF"/>
    <w:rsid w:val="00DC7F42"/>
    <w:rsid w:val="00DD0675"/>
    <w:rsid w:val="00DD075B"/>
    <w:rsid w:val="00DD076D"/>
    <w:rsid w:val="00DD0CDA"/>
    <w:rsid w:val="00DD1798"/>
    <w:rsid w:val="00DD1D51"/>
    <w:rsid w:val="00DD1DF1"/>
    <w:rsid w:val="00DD20B3"/>
    <w:rsid w:val="00DD284A"/>
    <w:rsid w:val="00DD2ECD"/>
    <w:rsid w:val="00DD31EA"/>
    <w:rsid w:val="00DD3983"/>
    <w:rsid w:val="00DD3AB3"/>
    <w:rsid w:val="00DD4007"/>
    <w:rsid w:val="00DD41B4"/>
    <w:rsid w:val="00DD4349"/>
    <w:rsid w:val="00DD6A5A"/>
    <w:rsid w:val="00DE051E"/>
    <w:rsid w:val="00DE0D94"/>
    <w:rsid w:val="00DE17E0"/>
    <w:rsid w:val="00DE1ECC"/>
    <w:rsid w:val="00DE2853"/>
    <w:rsid w:val="00DE3220"/>
    <w:rsid w:val="00DE4682"/>
    <w:rsid w:val="00DE4E27"/>
    <w:rsid w:val="00DE54AE"/>
    <w:rsid w:val="00DE5A99"/>
    <w:rsid w:val="00DE617A"/>
    <w:rsid w:val="00DE6221"/>
    <w:rsid w:val="00DE7AB9"/>
    <w:rsid w:val="00DE7FDD"/>
    <w:rsid w:val="00DF05BC"/>
    <w:rsid w:val="00DF0757"/>
    <w:rsid w:val="00DF07B4"/>
    <w:rsid w:val="00DF0EE4"/>
    <w:rsid w:val="00DF188F"/>
    <w:rsid w:val="00DF18B8"/>
    <w:rsid w:val="00DF2A4D"/>
    <w:rsid w:val="00DF3B8D"/>
    <w:rsid w:val="00DF3C28"/>
    <w:rsid w:val="00DF3F33"/>
    <w:rsid w:val="00DF4572"/>
    <w:rsid w:val="00DF478D"/>
    <w:rsid w:val="00DF64D3"/>
    <w:rsid w:val="00DF6D84"/>
    <w:rsid w:val="00DF79BE"/>
    <w:rsid w:val="00DF7BC6"/>
    <w:rsid w:val="00DF7CEF"/>
    <w:rsid w:val="00E003AC"/>
    <w:rsid w:val="00E01766"/>
    <w:rsid w:val="00E02030"/>
    <w:rsid w:val="00E02759"/>
    <w:rsid w:val="00E02EDF"/>
    <w:rsid w:val="00E03080"/>
    <w:rsid w:val="00E033F7"/>
    <w:rsid w:val="00E0478F"/>
    <w:rsid w:val="00E0485D"/>
    <w:rsid w:val="00E04FD9"/>
    <w:rsid w:val="00E05B7D"/>
    <w:rsid w:val="00E05BBA"/>
    <w:rsid w:val="00E05FD3"/>
    <w:rsid w:val="00E06DFE"/>
    <w:rsid w:val="00E106C8"/>
    <w:rsid w:val="00E10975"/>
    <w:rsid w:val="00E10A92"/>
    <w:rsid w:val="00E10B8E"/>
    <w:rsid w:val="00E10FD9"/>
    <w:rsid w:val="00E11159"/>
    <w:rsid w:val="00E11816"/>
    <w:rsid w:val="00E11956"/>
    <w:rsid w:val="00E1261F"/>
    <w:rsid w:val="00E1290A"/>
    <w:rsid w:val="00E134DF"/>
    <w:rsid w:val="00E1362E"/>
    <w:rsid w:val="00E13AB9"/>
    <w:rsid w:val="00E14463"/>
    <w:rsid w:val="00E14A16"/>
    <w:rsid w:val="00E16390"/>
    <w:rsid w:val="00E1790D"/>
    <w:rsid w:val="00E20444"/>
    <w:rsid w:val="00E20B85"/>
    <w:rsid w:val="00E211DF"/>
    <w:rsid w:val="00E215B7"/>
    <w:rsid w:val="00E215C1"/>
    <w:rsid w:val="00E217CC"/>
    <w:rsid w:val="00E228BD"/>
    <w:rsid w:val="00E22CD5"/>
    <w:rsid w:val="00E23575"/>
    <w:rsid w:val="00E23DC9"/>
    <w:rsid w:val="00E23F1D"/>
    <w:rsid w:val="00E24041"/>
    <w:rsid w:val="00E240A0"/>
    <w:rsid w:val="00E24744"/>
    <w:rsid w:val="00E24DDC"/>
    <w:rsid w:val="00E250E1"/>
    <w:rsid w:val="00E25264"/>
    <w:rsid w:val="00E25790"/>
    <w:rsid w:val="00E25858"/>
    <w:rsid w:val="00E2614A"/>
    <w:rsid w:val="00E26A71"/>
    <w:rsid w:val="00E27426"/>
    <w:rsid w:val="00E3007E"/>
    <w:rsid w:val="00E30113"/>
    <w:rsid w:val="00E30DCE"/>
    <w:rsid w:val="00E34747"/>
    <w:rsid w:val="00E35327"/>
    <w:rsid w:val="00E35421"/>
    <w:rsid w:val="00E354E7"/>
    <w:rsid w:val="00E363F9"/>
    <w:rsid w:val="00E364FD"/>
    <w:rsid w:val="00E36D2C"/>
    <w:rsid w:val="00E37904"/>
    <w:rsid w:val="00E379D1"/>
    <w:rsid w:val="00E41058"/>
    <w:rsid w:val="00E4105E"/>
    <w:rsid w:val="00E4117C"/>
    <w:rsid w:val="00E411E7"/>
    <w:rsid w:val="00E4186A"/>
    <w:rsid w:val="00E41F7B"/>
    <w:rsid w:val="00E4335A"/>
    <w:rsid w:val="00E434F7"/>
    <w:rsid w:val="00E437D4"/>
    <w:rsid w:val="00E44ACC"/>
    <w:rsid w:val="00E45323"/>
    <w:rsid w:val="00E4551C"/>
    <w:rsid w:val="00E45729"/>
    <w:rsid w:val="00E45A73"/>
    <w:rsid w:val="00E4787F"/>
    <w:rsid w:val="00E47BF4"/>
    <w:rsid w:val="00E47CA0"/>
    <w:rsid w:val="00E5079C"/>
    <w:rsid w:val="00E50BF5"/>
    <w:rsid w:val="00E51136"/>
    <w:rsid w:val="00E51CCB"/>
    <w:rsid w:val="00E53074"/>
    <w:rsid w:val="00E53180"/>
    <w:rsid w:val="00E533BC"/>
    <w:rsid w:val="00E5375A"/>
    <w:rsid w:val="00E537FE"/>
    <w:rsid w:val="00E538C9"/>
    <w:rsid w:val="00E542E4"/>
    <w:rsid w:val="00E54A42"/>
    <w:rsid w:val="00E54D13"/>
    <w:rsid w:val="00E553D1"/>
    <w:rsid w:val="00E5559F"/>
    <w:rsid w:val="00E55694"/>
    <w:rsid w:val="00E55D35"/>
    <w:rsid w:val="00E569B3"/>
    <w:rsid w:val="00E56A49"/>
    <w:rsid w:val="00E570DD"/>
    <w:rsid w:val="00E571B0"/>
    <w:rsid w:val="00E60C9A"/>
    <w:rsid w:val="00E61370"/>
    <w:rsid w:val="00E61929"/>
    <w:rsid w:val="00E61F26"/>
    <w:rsid w:val="00E6245E"/>
    <w:rsid w:val="00E624F9"/>
    <w:rsid w:val="00E65277"/>
    <w:rsid w:val="00E6535D"/>
    <w:rsid w:val="00E655A3"/>
    <w:rsid w:val="00E6560F"/>
    <w:rsid w:val="00E668B4"/>
    <w:rsid w:val="00E66AF1"/>
    <w:rsid w:val="00E676D5"/>
    <w:rsid w:val="00E70347"/>
    <w:rsid w:val="00E71350"/>
    <w:rsid w:val="00E716BD"/>
    <w:rsid w:val="00E71A6C"/>
    <w:rsid w:val="00E71C32"/>
    <w:rsid w:val="00E72460"/>
    <w:rsid w:val="00E72B5F"/>
    <w:rsid w:val="00E72F05"/>
    <w:rsid w:val="00E73630"/>
    <w:rsid w:val="00E73BDC"/>
    <w:rsid w:val="00E73FB5"/>
    <w:rsid w:val="00E740DA"/>
    <w:rsid w:val="00E74E47"/>
    <w:rsid w:val="00E75ACC"/>
    <w:rsid w:val="00E76403"/>
    <w:rsid w:val="00E76607"/>
    <w:rsid w:val="00E76835"/>
    <w:rsid w:val="00E76908"/>
    <w:rsid w:val="00E76A0C"/>
    <w:rsid w:val="00E76EF4"/>
    <w:rsid w:val="00E80326"/>
    <w:rsid w:val="00E80431"/>
    <w:rsid w:val="00E8158D"/>
    <w:rsid w:val="00E819CD"/>
    <w:rsid w:val="00E8241C"/>
    <w:rsid w:val="00E82661"/>
    <w:rsid w:val="00E82BDA"/>
    <w:rsid w:val="00E82E2E"/>
    <w:rsid w:val="00E83B03"/>
    <w:rsid w:val="00E83D27"/>
    <w:rsid w:val="00E84D22"/>
    <w:rsid w:val="00E84DFB"/>
    <w:rsid w:val="00E84E13"/>
    <w:rsid w:val="00E8576A"/>
    <w:rsid w:val="00E85990"/>
    <w:rsid w:val="00E85A0B"/>
    <w:rsid w:val="00E8611B"/>
    <w:rsid w:val="00E86A9D"/>
    <w:rsid w:val="00E870A5"/>
    <w:rsid w:val="00E874C6"/>
    <w:rsid w:val="00E916E8"/>
    <w:rsid w:val="00E91A51"/>
    <w:rsid w:val="00E91D2E"/>
    <w:rsid w:val="00E928DF"/>
    <w:rsid w:val="00E94146"/>
    <w:rsid w:val="00E941EB"/>
    <w:rsid w:val="00E9497D"/>
    <w:rsid w:val="00E949A9"/>
    <w:rsid w:val="00E94C9F"/>
    <w:rsid w:val="00E96134"/>
    <w:rsid w:val="00E96E11"/>
    <w:rsid w:val="00E9731C"/>
    <w:rsid w:val="00EA037B"/>
    <w:rsid w:val="00EA1A44"/>
    <w:rsid w:val="00EA1B6A"/>
    <w:rsid w:val="00EA1BE2"/>
    <w:rsid w:val="00EA1ED3"/>
    <w:rsid w:val="00EA3503"/>
    <w:rsid w:val="00EA45D4"/>
    <w:rsid w:val="00EA49B5"/>
    <w:rsid w:val="00EA4C54"/>
    <w:rsid w:val="00EA4FA4"/>
    <w:rsid w:val="00EA6405"/>
    <w:rsid w:val="00EA6A23"/>
    <w:rsid w:val="00EA6A6C"/>
    <w:rsid w:val="00EA6D2A"/>
    <w:rsid w:val="00EB0BAC"/>
    <w:rsid w:val="00EB1419"/>
    <w:rsid w:val="00EB1D9B"/>
    <w:rsid w:val="00EB20B1"/>
    <w:rsid w:val="00EB20F3"/>
    <w:rsid w:val="00EB3277"/>
    <w:rsid w:val="00EB38D3"/>
    <w:rsid w:val="00EB45B9"/>
    <w:rsid w:val="00EB45C9"/>
    <w:rsid w:val="00EB4BFE"/>
    <w:rsid w:val="00EB4FBB"/>
    <w:rsid w:val="00EB5A1A"/>
    <w:rsid w:val="00EB607B"/>
    <w:rsid w:val="00EB6A44"/>
    <w:rsid w:val="00EB6D99"/>
    <w:rsid w:val="00EB7569"/>
    <w:rsid w:val="00EC01F1"/>
    <w:rsid w:val="00EC0F95"/>
    <w:rsid w:val="00EC120B"/>
    <w:rsid w:val="00EC1367"/>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C7ABB"/>
    <w:rsid w:val="00ED0211"/>
    <w:rsid w:val="00ED0787"/>
    <w:rsid w:val="00ED08FF"/>
    <w:rsid w:val="00ED0F83"/>
    <w:rsid w:val="00ED1696"/>
    <w:rsid w:val="00ED29B2"/>
    <w:rsid w:val="00ED334D"/>
    <w:rsid w:val="00ED3AEE"/>
    <w:rsid w:val="00ED4631"/>
    <w:rsid w:val="00ED487A"/>
    <w:rsid w:val="00ED4B96"/>
    <w:rsid w:val="00ED4F34"/>
    <w:rsid w:val="00ED521E"/>
    <w:rsid w:val="00ED5748"/>
    <w:rsid w:val="00ED5D7D"/>
    <w:rsid w:val="00ED6450"/>
    <w:rsid w:val="00EE0B85"/>
    <w:rsid w:val="00EE0CBE"/>
    <w:rsid w:val="00EE1513"/>
    <w:rsid w:val="00EE1582"/>
    <w:rsid w:val="00EE1DC0"/>
    <w:rsid w:val="00EE1EB5"/>
    <w:rsid w:val="00EE1EEB"/>
    <w:rsid w:val="00EE245C"/>
    <w:rsid w:val="00EE37D3"/>
    <w:rsid w:val="00EE3851"/>
    <w:rsid w:val="00EE3A09"/>
    <w:rsid w:val="00EE3EA4"/>
    <w:rsid w:val="00EE5803"/>
    <w:rsid w:val="00EE5C9A"/>
    <w:rsid w:val="00EE6098"/>
    <w:rsid w:val="00EE66A5"/>
    <w:rsid w:val="00EE6E57"/>
    <w:rsid w:val="00EE6F83"/>
    <w:rsid w:val="00EE703A"/>
    <w:rsid w:val="00EE7895"/>
    <w:rsid w:val="00EF025A"/>
    <w:rsid w:val="00EF0EFE"/>
    <w:rsid w:val="00EF1BCD"/>
    <w:rsid w:val="00EF1CB6"/>
    <w:rsid w:val="00EF305F"/>
    <w:rsid w:val="00EF32F4"/>
    <w:rsid w:val="00EF3F6A"/>
    <w:rsid w:val="00EF41E8"/>
    <w:rsid w:val="00EF480C"/>
    <w:rsid w:val="00EF4D2E"/>
    <w:rsid w:val="00EF51C9"/>
    <w:rsid w:val="00EF5868"/>
    <w:rsid w:val="00EF5C0B"/>
    <w:rsid w:val="00EF62DF"/>
    <w:rsid w:val="00EF6F8D"/>
    <w:rsid w:val="00EF6FBE"/>
    <w:rsid w:val="00EF70E5"/>
    <w:rsid w:val="00EF76AC"/>
    <w:rsid w:val="00EF7725"/>
    <w:rsid w:val="00F017F1"/>
    <w:rsid w:val="00F02B51"/>
    <w:rsid w:val="00F02B8B"/>
    <w:rsid w:val="00F02C40"/>
    <w:rsid w:val="00F04E17"/>
    <w:rsid w:val="00F0606C"/>
    <w:rsid w:val="00F0682B"/>
    <w:rsid w:val="00F0780E"/>
    <w:rsid w:val="00F07D20"/>
    <w:rsid w:val="00F10526"/>
    <w:rsid w:val="00F11CF4"/>
    <w:rsid w:val="00F11DFE"/>
    <w:rsid w:val="00F121CC"/>
    <w:rsid w:val="00F12363"/>
    <w:rsid w:val="00F127F5"/>
    <w:rsid w:val="00F12936"/>
    <w:rsid w:val="00F12C55"/>
    <w:rsid w:val="00F148AC"/>
    <w:rsid w:val="00F148DF"/>
    <w:rsid w:val="00F151E9"/>
    <w:rsid w:val="00F157A1"/>
    <w:rsid w:val="00F15C99"/>
    <w:rsid w:val="00F164A0"/>
    <w:rsid w:val="00F17440"/>
    <w:rsid w:val="00F17D1E"/>
    <w:rsid w:val="00F206ED"/>
    <w:rsid w:val="00F21A51"/>
    <w:rsid w:val="00F21EEB"/>
    <w:rsid w:val="00F22616"/>
    <w:rsid w:val="00F226E3"/>
    <w:rsid w:val="00F22996"/>
    <w:rsid w:val="00F22C5C"/>
    <w:rsid w:val="00F22DB3"/>
    <w:rsid w:val="00F236B1"/>
    <w:rsid w:val="00F238CF"/>
    <w:rsid w:val="00F2391C"/>
    <w:rsid w:val="00F25574"/>
    <w:rsid w:val="00F26ABD"/>
    <w:rsid w:val="00F270D6"/>
    <w:rsid w:val="00F275DC"/>
    <w:rsid w:val="00F278E8"/>
    <w:rsid w:val="00F27A08"/>
    <w:rsid w:val="00F301AF"/>
    <w:rsid w:val="00F303F1"/>
    <w:rsid w:val="00F3051A"/>
    <w:rsid w:val="00F313CA"/>
    <w:rsid w:val="00F31592"/>
    <w:rsid w:val="00F3168D"/>
    <w:rsid w:val="00F317BE"/>
    <w:rsid w:val="00F32EC5"/>
    <w:rsid w:val="00F32EDE"/>
    <w:rsid w:val="00F34650"/>
    <w:rsid w:val="00F3482A"/>
    <w:rsid w:val="00F34AE7"/>
    <w:rsid w:val="00F3524A"/>
    <w:rsid w:val="00F36136"/>
    <w:rsid w:val="00F36347"/>
    <w:rsid w:val="00F36F0E"/>
    <w:rsid w:val="00F37028"/>
    <w:rsid w:val="00F37A95"/>
    <w:rsid w:val="00F37C46"/>
    <w:rsid w:val="00F37E7E"/>
    <w:rsid w:val="00F403A5"/>
    <w:rsid w:val="00F40D26"/>
    <w:rsid w:val="00F40E49"/>
    <w:rsid w:val="00F41137"/>
    <w:rsid w:val="00F4198B"/>
    <w:rsid w:val="00F41E47"/>
    <w:rsid w:val="00F4315F"/>
    <w:rsid w:val="00F43259"/>
    <w:rsid w:val="00F43267"/>
    <w:rsid w:val="00F439CA"/>
    <w:rsid w:val="00F446F6"/>
    <w:rsid w:val="00F453EC"/>
    <w:rsid w:val="00F45D00"/>
    <w:rsid w:val="00F45D82"/>
    <w:rsid w:val="00F45F8A"/>
    <w:rsid w:val="00F46076"/>
    <w:rsid w:val="00F46A56"/>
    <w:rsid w:val="00F46D22"/>
    <w:rsid w:val="00F475DA"/>
    <w:rsid w:val="00F47931"/>
    <w:rsid w:val="00F47A4D"/>
    <w:rsid w:val="00F47E30"/>
    <w:rsid w:val="00F47EA5"/>
    <w:rsid w:val="00F50601"/>
    <w:rsid w:val="00F510CA"/>
    <w:rsid w:val="00F51DCA"/>
    <w:rsid w:val="00F520D1"/>
    <w:rsid w:val="00F52710"/>
    <w:rsid w:val="00F52CAF"/>
    <w:rsid w:val="00F53134"/>
    <w:rsid w:val="00F5365A"/>
    <w:rsid w:val="00F53736"/>
    <w:rsid w:val="00F54F24"/>
    <w:rsid w:val="00F551B0"/>
    <w:rsid w:val="00F55693"/>
    <w:rsid w:val="00F55DAA"/>
    <w:rsid w:val="00F56365"/>
    <w:rsid w:val="00F56DE1"/>
    <w:rsid w:val="00F56F4F"/>
    <w:rsid w:val="00F57D76"/>
    <w:rsid w:val="00F60935"/>
    <w:rsid w:val="00F623FD"/>
    <w:rsid w:val="00F62CDA"/>
    <w:rsid w:val="00F637B9"/>
    <w:rsid w:val="00F6395C"/>
    <w:rsid w:val="00F64116"/>
    <w:rsid w:val="00F64B22"/>
    <w:rsid w:val="00F64D49"/>
    <w:rsid w:val="00F654F4"/>
    <w:rsid w:val="00F65952"/>
    <w:rsid w:val="00F6608A"/>
    <w:rsid w:val="00F66114"/>
    <w:rsid w:val="00F66682"/>
    <w:rsid w:val="00F66B72"/>
    <w:rsid w:val="00F67533"/>
    <w:rsid w:val="00F67960"/>
    <w:rsid w:val="00F67EFD"/>
    <w:rsid w:val="00F705D4"/>
    <w:rsid w:val="00F71788"/>
    <w:rsid w:val="00F71A08"/>
    <w:rsid w:val="00F7206E"/>
    <w:rsid w:val="00F7217B"/>
    <w:rsid w:val="00F726AF"/>
    <w:rsid w:val="00F729C2"/>
    <w:rsid w:val="00F72BF7"/>
    <w:rsid w:val="00F72FE7"/>
    <w:rsid w:val="00F73500"/>
    <w:rsid w:val="00F740F6"/>
    <w:rsid w:val="00F7414C"/>
    <w:rsid w:val="00F74515"/>
    <w:rsid w:val="00F74567"/>
    <w:rsid w:val="00F74861"/>
    <w:rsid w:val="00F75455"/>
    <w:rsid w:val="00F76421"/>
    <w:rsid w:val="00F80349"/>
    <w:rsid w:val="00F80582"/>
    <w:rsid w:val="00F80CA6"/>
    <w:rsid w:val="00F810F1"/>
    <w:rsid w:val="00F81AF8"/>
    <w:rsid w:val="00F81D81"/>
    <w:rsid w:val="00F829BF"/>
    <w:rsid w:val="00F830FE"/>
    <w:rsid w:val="00F8311E"/>
    <w:rsid w:val="00F84084"/>
    <w:rsid w:val="00F8455E"/>
    <w:rsid w:val="00F84894"/>
    <w:rsid w:val="00F84907"/>
    <w:rsid w:val="00F84C4D"/>
    <w:rsid w:val="00F8617F"/>
    <w:rsid w:val="00F8662B"/>
    <w:rsid w:val="00F86E19"/>
    <w:rsid w:val="00F90916"/>
    <w:rsid w:val="00F90C3E"/>
    <w:rsid w:val="00F90E16"/>
    <w:rsid w:val="00F90EE1"/>
    <w:rsid w:val="00F90F07"/>
    <w:rsid w:val="00F9130B"/>
    <w:rsid w:val="00F91723"/>
    <w:rsid w:val="00F91D98"/>
    <w:rsid w:val="00F93609"/>
    <w:rsid w:val="00F93B45"/>
    <w:rsid w:val="00F93CD5"/>
    <w:rsid w:val="00F94542"/>
    <w:rsid w:val="00F94649"/>
    <w:rsid w:val="00F94A97"/>
    <w:rsid w:val="00F9526E"/>
    <w:rsid w:val="00F953AF"/>
    <w:rsid w:val="00F9564E"/>
    <w:rsid w:val="00F958A5"/>
    <w:rsid w:val="00F95E27"/>
    <w:rsid w:val="00F95E89"/>
    <w:rsid w:val="00F96185"/>
    <w:rsid w:val="00F9624B"/>
    <w:rsid w:val="00F96CAD"/>
    <w:rsid w:val="00F972AB"/>
    <w:rsid w:val="00F97B9C"/>
    <w:rsid w:val="00FA0549"/>
    <w:rsid w:val="00FA15DA"/>
    <w:rsid w:val="00FA1A8F"/>
    <w:rsid w:val="00FA1DB0"/>
    <w:rsid w:val="00FA2977"/>
    <w:rsid w:val="00FA2E78"/>
    <w:rsid w:val="00FA3B3A"/>
    <w:rsid w:val="00FA41DE"/>
    <w:rsid w:val="00FA4BB5"/>
    <w:rsid w:val="00FA57E3"/>
    <w:rsid w:val="00FA5B26"/>
    <w:rsid w:val="00FA7918"/>
    <w:rsid w:val="00FA7C54"/>
    <w:rsid w:val="00FA7E5B"/>
    <w:rsid w:val="00FB0308"/>
    <w:rsid w:val="00FB0B3D"/>
    <w:rsid w:val="00FB10B9"/>
    <w:rsid w:val="00FB1532"/>
    <w:rsid w:val="00FB15F1"/>
    <w:rsid w:val="00FB1B6E"/>
    <w:rsid w:val="00FB2674"/>
    <w:rsid w:val="00FB4200"/>
    <w:rsid w:val="00FB42F2"/>
    <w:rsid w:val="00FB4731"/>
    <w:rsid w:val="00FB4AEB"/>
    <w:rsid w:val="00FB51CC"/>
    <w:rsid w:val="00FB5504"/>
    <w:rsid w:val="00FB5A81"/>
    <w:rsid w:val="00FB5EB8"/>
    <w:rsid w:val="00FB7355"/>
    <w:rsid w:val="00FB79F0"/>
    <w:rsid w:val="00FC0B50"/>
    <w:rsid w:val="00FC0F0B"/>
    <w:rsid w:val="00FC1154"/>
    <w:rsid w:val="00FC1D1B"/>
    <w:rsid w:val="00FC3350"/>
    <w:rsid w:val="00FC352E"/>
    <w:rsid w:val="00FC4270"/>
    <w:rsid w:val="00FC428F"/>
    <w:rsid w:val="00FC48D2"/>
    <w:rsid w:val="00FC4BEB"/>
    <w:rsid w:val="00FC4F93"/>
    <w:rsid w:val="00FC5AF1"/>
    <w:rsid w:val="00FC5DE7"/>
    <w:rsid w:val="00FC6297"/>
    <w:rsid w:val="00FC6622"/>
    <w:rsid w:val="00FC758E"/>
    <w:rsid w:val="00FC7777"/>
    <w:rsid w:val="00FD0BE3"/>
    <w:rsid w:val="00FD1014"/>
    <w:rsid w:val="00FD10A8"/>
    <w:rsid w:val="00FD13A4"/>
    <w:rsid w:val="00FD1B4A"/>
    <w:rsid w:val="00FD1D46"/>
    <w:rsid w:val="00FD269F"/>
    <w:rsid w:val="00FD2C66"/>
    <w:rsid w:val="00FD42A4"/>
    <w:rsid w:val="00FD520B"/>
    <w:rsid w:val="00FD5451"/>
    <w:rsid w:val="00FD55C9"/>
    <w:rsid w:val="00FD569B"/>
    <w:rsid w:val="00FD5761"/>
    <w:rsid w:val="00FD5D34"/>
    <w:rsid w:val="00FD65AB"/>
    <w:rsid w:val="00FD7763"/>
    <w:rsid w:val="00FD7A72"/>
    <w:rsid w:val="00FE0A82"/>
    <w:rsid w:val="00FE156F"/>
    <w:rsid w:val="00FE15CA"/>
    <w:rsid w:val="00FE32D3"/>
    <w:rsid w:val="00FE397E"/>
    <w:rsid w:val="00FE3ECA"/>
    <w:rsid w:val="00FE3EFD"/>
    <w:rsid w:val="00FE4F94"/>
    <w:rsid w:val="00FE5081"/>
    <w:rsid w:val="00FE5960"/>
    <w:rsid w:val="00FE5D17"/>
    <w:rsid w:val="00FE6134"/>
    <w:rsid w:val="00FE67F1"/>
    <w:rsid w:val="00FE6B8D"/>
    <w:rsid w:val="00FE6EB0"/>
    <w:rsid w:val="00FE7DF5"/>
    <w:rsid w:val="00FE7EC4"/>
    <w:rsid w:val="00FF1C0D"/>
    <w:rsid w:val="00FF1ED1"/>
    <w:rsid w:val="00FF22EE"/>
    <w:rsid w:val="00FF2698"/>
    <w:rsid w:val="00FF27FB"/>
    <w:rsid w:val="00FF3DBD"/>
    <w:rsid w:val="00FF4CE0"/>
    <w:rsid w:val="00FF699B"/>
    <w:rsid w:val="00FF7485"/>
    <w:rsid w:val="00FF76A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27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10393261">
      <w:bodyDiv w:val="1"/>
      <w:marLeft w:val="0"/>
      <w:marRight w:val="0"/>
      <w:marTop w:val="0"/>
      <w:marBottom w:val="0"/>
      <w:divBdr>
        <w:top w:val="none" w:sz="0" w:space="0" w:color="auto"/>
        <w:left w:val="none" w:sz="0" w:space="0" w:color="auto"/>
        <w:bottom w:val="none" w:sz="0" w:space="0" w:color="auto"/>
        <w:right w:val="none" w:sz="0" w:space="0" w:color="auto"/>
      </w:divBdr>
    </w:div>
    <w:div w:id="599097194">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774518507">
      <w:bodyDiv w:val="1"/>
      <w:marLeft w:val="0"/>
      <w:marRight w:val="0"/>
      <w:marTop w:val="0"/>
      <w:marBottom w:val="0"/>
      <w:divBdr>
        <w:top w:val="none" w:sz="0" w:space="0" w:color="auto"/>
        <w:left w:val="none" w:sz="0" w:space="0" w:color="auto"/>
        <w:bottom w:val="none" w:sz="0" w:space="0" w:color="auto"/>
        <w:right w:val="none" w:sz="0" w:space="0" w:color="auto"/>
      </w:divBdr>
    </w:div>
    <w:div w:id="777217786">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258516047">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767773081">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030177879">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FCC-20-120A1.pdf" TargetMode="External"/><Relationship Id="rId13" Type="http://schemas.openxmlformats.org/officeDocument/2006/relationships/hyperlink" Target="https://docs.fcc.gov/public/attachments/FCC-20-23A1.pdf" TargetMode="External"/><Relationship Id="rId18" Type="http://schemas.openxmlformats.org/officeDocument/2006/relationships/hyperlink" Target="https://www.sesac.com/" TargetMode="External"/><Relationship Id="rId26" Type="http://schemas.openxmlformats.org/officeDocument/2006/relationships/hyperlink" Target="mailto:bdavis@brookspierce.com" TargetMode="External"/><Relationship Id="rId3" Type="http://schemas.openxmlformats.org/officeDocument/2006/relationships/styles" Target="styles.xml"/><Relationship Id="rId21" Type="http://schemas.openxmlformats.org/officeDocument/2006/relationships/hyperlink" Target="mailto:dkushner@brookspierce.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patrcros\ND%20Office%20Echo\VAULT-YQ4LR0TH\CbandHelp@ses.com" TargetMode="External"/><Relationship Id="rId17" Type="http://schemas.openxmlformats.org/officeDocument/2006/relationships/hyperlink" Target="https://licensees.sesac.com/login?returnUrl=%2Fhome" TargetMode="External"/><Relationship Id="rId25" Type="http://schemas.openxmlformats.org/officeDocument/2006/relationships/hyperlink" Target="mailto:espainhour@brookspierce.com"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radiomlc.org/contact-us/" TargetMode="External"/><Relationship Id="rId20" Type="http://schemas.openxmlformats.org/officeDocument/2006/relationships/hyperlink" Target="mailto:mtrathen@brookspierce.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lsat@wesco.com" TargetMode="External"/><Relationship Id="rId24" Type="http://schemas.openxmlformats.org/officeDocument/2006/relationships/hyperlink" Target="mailto:jambrose@brookspierce.com"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hayf5mhw1h7.cloudfront.net/wp-content/uploads/sites/893/2020/08/24160819/SESAC-2019-Blanket-License.pdf" TargetMode="External"/><Relationship Id="rId23" Type="http://schemas.openxmlformats.org/officeDocument/2006/relationships/hyperlink" Target="mailto:shartzell@brookspierce.com" TargetMode="External"/><Relationship Id="rId28" Type="http://schemas.openxmlformats.org/officeDocument/2006/relationships/hyperlink" Target="mailto:pcross@brookspierce.com" TargetMode="External"/><Relationship Id="rId36" Type="http://schemas.openxmlformats.org/officeDocument/2006/relationships/fontTable" Target="fontTable.xml"/><Relationship Id="rId10" Type="http://schemas.openxmlformats.org/officeDocument/2006/relationships/hyperlink" Target="https://docs.fcc.gov/public/attachments/DA-20-1033A1.pdf" TargetMode="External"/><Relationship Id="rId19" Type="http://schemas.openxmlformats.org/officeDocument/2006/relationships/hyperlink" Target="mailto:mprak@brookspierc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20regfeerelief@fcc.gov" TargetMode="External"/><Relationship Id="rId14" Type="http://schemas.openxmlformats.org/officeDocument/2006/relationships/hyperlink" Target="https://www.sesac.com/" TargetMode="External"/><Relationship Id="rId22" Type="http://schemas.openxmlformats.org/officeDocument/2006/relationships/hyperlink" Target="mailto:cramsey@brookspierce.com" TargetMode="External"/><Relationship Id="rId27" Type="http://schemas.openxmlformats.org/officeDocument/2006/relationships/hyperlink" Target="mailto:tnelson@brookspierce.com" TargetMode="External"/><Relationship Id="rId30" Type="http://schemas.openxmlformats.org/officeDocument/2006/relationships/header" Target="header2.xml"/><Relationship Id="rId35"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09236-B109-4FC6-8AD4-C6CB1EC41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3578</Words>
  <Characters>20396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Douglas</dc:creator>
  <cp:keywords/>
  <dc:description/>
  <cp:lastModifiedBy>Tim Nelson</cp:lastModifiedBy>
  <cp:revision>2</cp:revision>
  <cp:lastPrinted>2020-09-04T17:37:00Z</cp:lastPrinted>
  <dcterms:created xsi:type="dcterms:W3CDTF">2020-09-04T17:38:00Z</dcterms:created>
  <dcterms:modified xsi:type="dcterms:W3CDTF">2020-09-04T17:38:00Z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